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50" w:rsidRPr="00EF7650" w:rsidRDefault="00EF7650" w:rsidP="00EF7650">
      <w:pPr>
        <w:pStyle w:val="Titolo1"/>
        <w:jc w:val="center"/>
        <w:rPr>
          <w:sz w:val="28"/>
        </w:rPr>
      </w:pPr>
      <w:bookmarkStart w:id="0" w:name="_Toc444861093"/>
      <w:bookmarkStart w:id="1" w:name="_GoBack"/>
      <w:r w:rsidRPr="00DE2F04">
        <w:rPr>
          <w:rStyle w:val="Maiuscoletto"/>
        </w:rPr>
        <w:t xml:space="preserve">R7: </w:t>
      </w:r>
      <w:r w:rsidRPr="00DE2F04">
        <w:t xml:space="preserve">Cristina Carnevale- Comunicazione al Panel </w:t>
      </w:r>
      <w:r w:rsidRPr="00EF7650">
        <w:rPr>
          <w:sz w:val="28"/>
        </w:rPr>
        <w:t>(Scuola Primaria)</w:t>
      </w:r>
      <w:bookmarkEnd w:id="0"/>
    </w:p>
    <w:bookmarkEnd w:id="1"/>
    <w:p w:rsidR="00EF7650" w:rsidRDefault="00EF7650" w:rsidP="00EF7650">
      <w:pPr>
        <w:jc w:val="center"/>
      </w:pPr>
    </w:p>
    <w:p w:rsidR="00EF7650" w:rsidRPr="002F19EC" w:rsidRDefault="00EF7650" w:rsidP="00EF7650">
      <w:pPr>
        <w:jc w:val="center"/>
        <w:rPr>
          <w:b/>
          <w:i/>
        </w:rPr>
      </w:pPr>
    </w:p>
    <w:p w:rsidR="00EF7650" w:rsidRDefault="00EF7650" w:rsidP="00EF7650">
      <w:pPr>
        <w:spacing w:line="276" w:lineRule="auto"/>
        <w:ind w:firstLine="708"/>
        <w:jc w:val="both"/>
      </w:pPr>
      <w:r>
        <w:t>Dal punto di vista dell’ordine di scuola in cui insegno (scuola primaria), l’argomento ce</w:t>
      </w:r>
      <w:r>
        <w:t>n</w:t>
      </w:r>
      <w:r>
        <w:t xml:space="preserve">trale del Corso e le sollecitazioni dei vari relatori aprono almeno </w:t>
      </w:r>
      <w:proofErr w:type="gramStart"/>
      <w:r>
        <w:t>3</w:t>
      </w:r>
      <w:proofErr w:type="gramEnd"/>
      <w:r>
        <w:t xml:space="preserve"> prospettive di riflessione.</w:t>
      </w:r>
    </w:p>
    <w:p w:rsidR="00EF7650" w:rsidRDefault="00EF7650" w:rsidP="00EF7650">
      <w:pPr>
        <w:spacing w:line="276" w:lineRule="auto"/>
        <w:jc w:val="both"/>
      </w:pPr>
      <w:r>
        <w:rPr>
          <w:b/>
          <w:i/>
        </w:rPr>
        <w:t>1)</w:t>
      </w:r>
      <w:r w:rsidRPr="00C065DC">
        <w:rPr>
          <w:i/>
        </w:rPr>
        <w:t xml:space="preserve"> </w:t>
      </w:r>
      <w:r>
        <w:t>D</w:t>
      </w:r>
      <w:r w:rsidRPr="0054491E">
        <w:t xml:space="preserve">all’intervento del </w:t>
      </w:r>
      <w:r>
        <w:t>P</w:t>
      </w:r>
      <w:r w:rsidRPr="0054491E">
        <w:t xml:space="preserve">rof. </w:t>
      </w:r>
      <w:proofErr w:type="gramStart"/>
      <w:r w:rsidRPr="0054491E">
        <w:t>J.</w:t>
      </w:r>
      <w:proofErr w:type="gramEnd"/>
      <w:r w:rsidRPr="0054491E">
        <w:t xml:space="preserve"> L. </w:t>
      </w:r>
      <w:r>
        <w:t>M</w:t>
      </w:r>
      <w:r w:rsidRPr="0054491E">
        <w:t>oral</w:t>
      </w:r>
      <w:r>
        <w:t xml:space="preserve"> (</w:t>
      </w:r>
      <w:r>
        <w:rPr>
          <w:i/>
        </w:rPr>
        <w:t>E</w:t>
      </w:r>
      <w:r w:rsidRPr="00C065DC">
        <w:rPr>
          <w:i/>
        </w:rPr>
        <w:t>ducazione e apprendimento: identità, differenze e complementarietà</w:t>
      </w:r>
      <w:r>
        <w:t>) possiamo cogliere in primo luogo lo spunto sull’</w:t>
      </w:r>
      <w:r w:rsidRPr="003F270E">
        <w:rPr>
          <w:b/>
          <w:i/>
        </w:rPr>
        <w:t xml:space="preserve">essere umano “scritto” (da decifrare) e </w:t>
      </w:r>
      <w:r>
        <w:rPr>
          <w:b/>
          <w:i/>
        </w:rPr>
        <w:t xml:space="preserve">l’essere umano </w:t>
      </w:r>
      <w:r w:rsidRPr="003F270E">
        <w:rPr>
          <w:b/>
          <w:i/>
        </w:rPr>
        <w:t>“da scrivere” (</w:t>
      </w:r>
      <w:r>
        <w:rPr>
          <w:b/>
          <w:i/>
        </w:rPr>
        <w:t>da interpretare</w:t>
      </w:r>
      <w:r w:rsidRPr="003F270E">
        <w:rPr>
          <w:b/>
          <w:i/>
        </w:rPr>
        <w:t xml:space="preserve"> in ordine ad uno sviluppo che si svolge in modo unico)</w:t>
      </w:r>
      <w:r>
        <w:t xml:space="preserve">. </w:t>
      </w:r>
    </w:p>
    <w:p w:rsidR="00EF7650" w:rsidRDefault="00EF7650" w:rsidP="00EF7650">
      <w:pPr>
        <w:spacing w:line="276" w:lineRule="auto"/>
        <w:jc w:val="both"/>
      </w:pPr>
      <w:r>
        <w:t xml:space="preserve">- Il primo aspetto (l’essere umano “scritto”) nella scuola primaria fa pensare a tutta </w:t>
      </w:r>
      <w:proofErr w:type="gramStart"/>
      <w:r>
        <w:t>le</w:t>
      </w:r>
      <w:proofErr w:type="gramEnd"/>
      <w:r>
        <w:t xml:space="preserve"> sfera dei </w:t>
      </w:r>
      <w:r w:rsidRPr="000A1A21">
        <w:rPr>
          <w:b/>
          <w:i/>
        </w:rPr>
        <w:t>bisogni</w:t>
      </w:r>
      <w:r>
        <w:t xml:space="preserve"> dei nostri alunni che sono da decifrare, da capire, da accogliere. Noi </w:t>
      </w:r>
      <w:proofErr w:type="spellStart"/>
      <w:r>
        <w:t>Idr</w:t>
      </w:r>
      <w:proofErr w:type="spellEnd"/>
      <w:r>
        <w:t xml:space="preserve"> di solito prepariamo le esperienze di apprendimento proprio </w:t>
      </w:r>
      <w:proofErr w:type="gramStart"/>
      <w:r>
        <w:t>a partire da</w:t>
      </w:r>
      <w:proofErr w:type="gramEnd"/>
      <w:r>
        <w:t xml:space="preserve"> questi bisogni che dobbiamo però i</w:t>
      </w:r>
      <w:r>
        <w:t>m</w:t>
      </w:r>
      <w:r>
        <w:t>parare a decifrare meglio e che sono legati alla fascia di età alla quale appartengono i nostri alunni e sono in riferimento principalmente al bisogno di identità, di relazionalità, di senso.</w:t>
      </w:r>
    </w:p>
    <w:p w:rsidR="00EF7650" w:rsidRDefault="00EF7650" w:rsidP="00EF7650">
      <w:pPr>
        <w:spacing w:line="276" w:lineRule="auto"/>
        <w:jc w:val="both"/>
      </w:pPr>
      <w:r>
        <w:t xml:space="preserve">- Il secondo aspetto (l’essere umano “da scrivere”) richiama invece la </w:t>
      </w:r>
      <w:r w:rsidRPr="000A1A21">
        <w:rPr>
          <w:b/>
          <w:i/>
        </w:rPr>
        <w:t>prospettiva educativa che diamo ai nostri percorsi</w:t>
      </w:r>
      <w:r>
        <w:t xml:space="preserve"> di scoperta e apprendimento di RC, percorsi che diventano appunto o</w:t>
      </w:r>
      <w:r>
        <w:t>c</w:t>
      </w:r>
      <w:r>
        <w:t>casione di crescita, di maturazione, di sviluppo appunto personale, socio-relazionale, di senso.</w:t>
      </w:r>
    </w:p>
    <w:p w:rsidR="00EF7650" w:rsidRPr="003F270E" w:rsidRDefault="00EF7650" w:rsidP="00EF7650">
      <w:pPr>
        <w:spacing w:line="276" w:lineRule="auto"/>
        <w:jc w:val="both"/>
        <w:rPr>
          <w:b/>
          <w:i/>
        </w:rPr>
      </w:pPr>
      <w:r>
        <w:t xml:space="preserve">Questo legame apprendimento-maturazione emerge anche </w:t>
      </w:r>
      <w:r w:rsidRPr="0054491E">
        <w:t>nell’intervento del</w:t>
      </w:r>
      <w:r>
        <w:t xml:space="preserve"> Prof. D. </w:t>
      </w:r>
      <w:proofErr w:type="spellStart"/>
      <w:r>
        <w:t>G</w:t>
      </w:r>
      <w:r w:rsidRPr="0054491E">
        <w:t>rządziel</w:t>
      </w:r>
      <w:proofErr w:type="spellEnd"/>
      <w:r w:rsidRPr="0054491E">
        <w:t xml:space="preserve"> </w:t>
      </w:r>
      <w:proofErr w:type="gramStart"/>
      <w:r>
        <w:t>(</w:t>
      </w:r>
      <w:proofErr w:type="gramEnd"/>
      <w:r>
        <w:rPr>
          <w:i/>
        </w:rPr>
        <w:t>M</w:t>
      </w:r>
      <w:r w:rsidRPr="0021575B">
        <w:rPr>
          <w:i/>
        </w:rPr>
        <w:t>aturazione umana – IRC</w:t>
      </w:r>
      <w:r>
        <w:rPr>
          <w:i/>
        </w:rPr>
        <w:t>. L</w:t>
      </w:r>
      <w:r w:rsidRPr="0021575B">
        <w:rPr>
          <w:i/>
        </w:rPr>
        <w:t xml:space="preserve">e finalità didattiche </w:t>
      </w:r>
      <w:proofErr w:type="gramStart"/>
      <w:r w:rsidRPr="0021575B">
        <w:rPr>
          <w:i/>
        </w:rPr>
        <w:t>ed</w:t>
      </w:r>
      <w:proofErr w:type="gramEnd"/>
      <w:r w:rsidRPr="0021575B">
        <w:rPr>
          <w:i/>
        </w:rPr>
        <w:t xml:space="preserve"> educative</w:t>
      </w:r>
      <w:r>
        <w:t xml:space="preserve">) in cui è chiara </w:t>
      </w:r>
      <w:r w:rsidRPr="0054491E">
        <w:rPr>
          <w:b/>
          <w:i/>
        </w:rPr>
        <w:t>l’esigenza di</w:t>
      </w:r>
      <w:r>
        <w:t xml:space="preserve"> </w:t>
      </w:r>
      <w:r w:rsidRPr="003F270E">
        <w:rPr>
          <w:b/>
          <w:i/>
        </w:rPr>
        <w:t>i</w:t>
      </w:r>
      <w:r w:rsidRPr="003F270E">
        <w:rPr>
          <w:b/>
          <w:i/>
        </w:rPr>
        <w:t>n</w:t>
      </w:r>
      <w:r w:rsidRPr="003F270E">
        <w:rPr>
          <w:b/>
          <w:i/>
        </w:rPr>
        <w:t>tegrare i processi didattici ed educativi</w:t>
      </w:r>
      <w:r>
        <w:t xml:space="preserve">. Anche se le valutazioni INVALSI </w:t>
      </w:r>
      <w:proofErr w:type="gramStart"/>
      <w:r>
        <w:t>privilegiano</w:t>
      </w:r>
      <w:proofErr w:type="gramEnd"/>
      <w:r>
        <w:t xml:space="preserve"> l’indagine sugli apprendimenti disciplinari e anche se la rilevazione/valutazione delle compete</w:t>
      </w:r>
      <w:r>
        <w:t>n</w:t>
      </w:r>
      <w:r>
        <w:t xml:space="preserve">ze non è ancora “matura” nella scuola, come ricorda anche la relazione del </w:t>
      </w:r>
      <w:r w:rsidRPr="002F19EC">
        <w:t xml:space="preserve">Prof. M. </w:t>
      </w:r>
      <w:proofErr w:type="spellStart"/>
      <w:r w:rsidRPr="002F19EC">
        <w:t>Pellerey</w:t>
      </w:r>
      <w:proofErr w:type="spellEnd"/>
      <w:r>
        <w:t xml:space="preserve"> (</w:t>
      </w:r>
      <w:r w:rsidRPr="0021575B">
        <w:rPr>
          <w:i/>
        </w:rPr>
        <w:t>IRC e processi educativi scolastici</w:t>
      </w:r>
      <w:r>
        <w:t xml:space="preserve">), lo sviluppo del carattere, che non è certamente una materia in più da insegnare, è legato </w:t>
      </w:r>
      <w:proofErr w:type="gramStart"/>
      <w:r>
        <w:t>ad</w:t>
      </w:r>
      <w:proofErr w:type="gramEnd"/>
      <w:r>
        <w:t xml:space="preserve"> ogni apprendimento disciplinare: </w:t>
      </w:r>
      <w:r w:rsidRPr="002F19EC">
        <w:rPr>
          <w:b/>
          <w:i/>
        </w:rPr>
        <w:t>ogni disciplina scolastica</w:t>
      </w:r>
      <w:r>
        <w:rPr>
          <w:i/>
        </w:rPr>
        <w:t xml:space="preserve"> infa</w:t>
      </w:r>
      <w:r>
        <w:rPr>
          <w:i/>
        </w:rPr>
        <w:t>t</w:t>
      </w:r>
      <w:r>
        <w:rPr>
          <w:i/>
        </w:rPr>
        <w:t>ti</w:t>
      </w:r>
      <w:r w:rsidRPr="0021575B">
        <w:rPr>
          <w:i/>
        </w:rPr>
        <w:t>, secondo le Indicazioni</w:t>
      </w:r>
      <w:r>
        <w:rPr>
          <w:i/>
        </w:rPr>
        <w:t>,</w:t>
      </w:r>
      <w:r>
        <w:rPr>
          <w:rStyle w:val="Rimandonotaapidipagina"/>
          <w:i/>
        </w:rPr>
        <w:footnoteReference w:id="1"/>
      </w:r>
      <w:r w:rsidRPr="0021575B">
        <w:rPr>
          <w:i/>
        </w:rPr>
        <w:t xml:space="preserve"> </w:t>
      </w:r>
      <w:proofErr w:type="gramStart"/>
      <w:r w:rsidRPr="002F19EC">
        <w:rPr>
          <w:b/>
          <w:i/>
        </w:rPr>
        <w:t>è</w:t>
      </w:r>
      <w:proofErr w:type="gramEnd"/>
      <w:r w:rsidRPr="002F19EC">
        <w:rPr>
          <w:b/>
          <w:i/>
        </w:rPr>
        <w:t xml:space="preserve"> chiamata a portare un contributo per lo sviluppo personale dell’alunno</w:t>
      </w:r>
      <w:r>
        <w:t xml:space="preserve">, come ricorda sempre </w:t>
      </w:r>
      <w:proofErr w:type="spellStart"/>
      <w:r>
        <w:t>Pellerey</w:t>
      </w:r>
      <w:proofErr w:type="spellEnd"/>
      <w:r w:rsidRPr="0021575B">
        <w:rPr>
          <w:b/>
        </w:rPr>
        <w:t xml:space="preserve"> </w:t>
      </w:r>
      <w:r>
        <w:t xml:space="preserve">richiamando </w:t>
      </w:r>
      <w:r w:rsidRPr="002F19EC">
        <w:t>il Profilo educativo dell’alunno atteso nella scuola e la didattica “orientativa” non solo al lavoro, ma alla vita</w:t>
      </w:r>
      <w:r w:rsidRPr="003F270E">
        <w:rPr>
          <w:b/>
          <w:i/>
        </w:rPr>
        <w:t>.</w:t>
      </w:r>
    </w:p>
    <w:p w:rsidR="00EF7650" w:rsidRDefault="00EF7650" w:rsidP="00EF7650">
      <w:pPr>
        <w:spacing w:line="276" w:lineRule="auto"/>
        <w:ind w:firstLine="708"/>
        <w:jc w:val="both"/>
      </w:pPr>
      <w:r>
        <w:t xml:space="preserve">A proposito di questo </w:t>
      </w:r>
      <w:r w:rsidRPr="002F19EC">
        <w:rPr>
          <w:b/>
          <w:i/>
        </w:rPr>
        <w:t>legame apprendimento-maturazione</w:t>
      </w:r>
      <w:r>
        <w:t xml:space="preserve"> richiamato dal nostro Corso, </w:t>
      </w:r>
      <w:r w:rsidRPr="002F19EC">
        <w:rPr>
          <w:b/>
          <w:i/>
        </w:rPr>
        <w:t xml:space="preserve">riporto qui solo </w:t>
      </w:r>
      <w:r>
        <w:rPr>
          <w:b/>
          <w:i/>
        </w:rPr>
        <w:t>alcuni esempi</w:t>
      </w:r>
      <w:r w:rsidRPr="002F19EC">
        <w:rPr>
          <w:b/>
          <w:i/>
        </w:rPr>
        <w:t xml:space="preserve"> </w:t>
      </w:r>
      <w:r>
        <w:rPr>
          <w:b/>
          <w:i/>
        </w:rPr>
        <w:t>legati</w:t>
      </w:r>
      <w:r w:rsidRPr="002F19EC">
        <w:rPr>
          <w:b/>
          <w:i/>
        </w:rPr>
        <w:t xml:space="preserve"> all’IRC nella primaria che </w:t>
      </w:r>
      <w:r>
        <w:rPr>
          <w:b/>
          <w:i/>
        </w:rPr>
        <w:t>possono</w:t>
      </w:r>
      <w:r w:rsidRPr="002F19EC">
        <w:rPr>
          <w:b/>
          <w:i/>
        </w:rPr>
        <w:t xml:space="preserve"> essere illuminant</w:t>
      </w:r>
      <w:r>
        <w:rPr>
          <w:b/>
          <w:i/>
        </w:rPr>
        <w:t>i</w:t>
      </w:r>
      <w:r>
        <w:t xml:space="preserve">: </w:t>
      </w:r>
    </w:p>
    <w:p w:rsidR="00EF7650" w:rsidRDefault="00EF7650" w:rsidP="00EF7650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F7650" w:rsidRPr="001E061D" w:rsidTr="00BD29C4">
        <w:tc>
          <w:tcPr>
            <w:tcW w:w="4889" w:type="dxa"/>
            <w:shd w:val="clear" w:color="auto" w:fill="FFFF99"/>
          </w:tcPr>
          <w:p w:rsidR="00EF7650" w:rsidRPr="00DE2F04" w:rsidRDefault="00EF7650" w:rsidP="00BD29C4">
            <w:pPr>
              <w:spacing w:line="276" w:lineRule="auto"/>
              <w:jc w:val="center"/>
              <w:rPr>
                <w:rFonts w:cs="Arial"/>
                <w:i/>
                <w:sz w:val="22"/>
              </w:rPr>
            </w:pPr>
            <w:r w:rsidRPr="00DE2F04">
              <w:rPr>
                <w:rFonts w:cs="Arial"/>
                <w:i/>
                <w:sz w:val="22"/>
              </w:rPr>
              <w:t xml:space="preserve">ESPERIENZA DI APPRENDIMENTO IRC </w:t>
            </w:r>
          </w:p>
          <w:p w:rsidR="00EF7650" w:rsidRPr="00DE2F04" w:rsidRDefault="00EF7650" w:rsidP="00BD29C4">
            <w:pPr>
              <w:spacing w:line="276" w:lineRule="auto"/>
              <w:jc w:val="center"/>
              <w:rPr>
                <w:rFonts w:cs="Arial"/>
                <w:i/>
                <w:sz w:val="22"/>
              </w:rPr>
            </w:pPr>
            <w:r w:rsidRPr="00DE2F04">
              <w:rPr>
                <w:rFonts w:cs="Arial"/>
                <w:i/>
                <w:sz w:val="22"/>
              </w:rPr>
              <w:t>LEGATA A...</w:t>
            </w:r>
          </w:p>
        </w:tc>
        <w:tc>
          <w:tcPr>
            <w:tcW w:w="4889" w:type="dxa"/>
            <w:shd w:val="clear" w:color="auto" w:fill="FFFF99"/>
          </w:tcPr>
          <w:p w:rsidR="00EF7650" w:rsidRPr="00DE2F04" w:rsidRDefault="00EF7650" w:rsidP="00BD29C4">
            <w:pPr>
              <w:spacing w:line="276" w:lineRule="auto"/>
              <w:jc w:val="center"/>
              <w:rPr>
                <w:rFonts w:cs="Arial"/>
                <w:i/>
                <w:sz w:val="22"/>
              </w:rPr>
            </w:pPr>
            <w:r w:rsidRPr="00DE2F04">
              <w:rPr>
                <w:rFonts w:cs="Arial"/>
                <w:i/>
                <w:sz w:val="22"/>
              </w:rPr>
              <w:t>DIMENSIONE DI CRESCITA UMANA</w:t>
            </w:r>
          </w:p>
          <w:p w:rsidR="00EF7650" w:rsidRPr="00DE2F04" w:rsidRDefault="00EF7650" w:rsidP="00BD29C4">
            <w:pPr>
              <w:spacing w:line="276" w:lineRule="auto"/>
              <w:jc w:val="center"/>
              <w:rPr>
                <w:rFonts w:cs="Arial"/>
                <w:i/>
                <w:sz w:val="22"/>
              </w:rPr>
            </w:pPr>
            <w:r w:rsidRPr="00DE2F04">
              <w:rPr>
                <w:rFonts w:cs="Arial"/>
                <w:i/>
                <w:sz w:val="22"/>
              </w:rPr>
              <w:t>(COMPETENZA DI VITA)</w:t>
            </w:r>
          </w:p>
        </w:tc>
      </w:tr>
      <w:tr w:rsidR="00EF7650" w:rsidRPr="00186BB9" w:rsidTr="00BD29C4">
        <w:tc>
          <w:tcPr>
            <w:tcW w:w="4889" w:type="dxa"/>
          </w:tcPr>
          <w:p w:rsidR="00EF7650" w:rsidRPr="00DE2F04" w:rsidRDefault="00EF7650" w:rsidP="00BD29C4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DE2F04">
              <w:rPr>
                <w:rFonts w:cs="Arial"/>
                <w:sz w:val="22"/>
              </w:rPr>
              <w:t>la</w:t>
            </w:r>
            <w:proofErr w:type="gramEnd"/>
            <w:r w:rsidRPr="00DE2F04">
              <w:rPr>
                <w:rFonts w:cs="Arial"/>
                <w:sz w:val="22"/>
              </w:rPr>
              <w:t xml:space="preserve"> storia biblica di </w:t>
            </w:r>
            <w:r w:rsidRPr="00DE2F04">
              <w:rPr>
                <w:rFonts w:cs="Arial"/>
                <w:b/>
                <w:sz w:val="22"/>
              </w:rPr>
              <w:t>Giuseppe</w:t>
            </w:r>
            <w:r w:rsidRPr="00DE2F04">
              <w:rPr>
                <w:rFonts w:cs="Arial"/>
                <w:sz w:val="22"/>
              </w:rPr>
              <w:t xml:space="preserve"> venduto dai fratelli</w:t>
            </w:r>
          </w:p>
        </w:tc>
        <w:tc>
          <w:tcPr>
            <w:tcW w:w="4889" w:type="dxa"/>
          </w:tcPr>
          <w:p w:rsidR="00EF7650" w:rsidRPr="00DE2F04" w:rsidRDefault="00EF7650" w:rsidP="00BD29C4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DE2F04">
              <w:rPr>
                <w:rFonts w:cs="Arial"/>
                <w:sz w:val="22"/>
              </w:rPr>
              <w:t>tenere</w:t>
            </w:r>
            <w:proofErr w:type="gramEnd"/>
            <w:r w:rsidRPr="00DE2F04">
              <w:rPr>
                <w:rFonts w:cs="Arial"/>
                <w:sz w:val="22"/>
              </w:rPr>
              <w:t xml:space="preserve"> conto dell’</w:t>
            </w:r>
            <w:r w:rsidRPr="00DE2F04">
              <w:rPr>
                <w:rFonts w:cs="Arial"/>
                <w:i/>
                <w:sz w:val="22"/>
              </w:rPr>
              <w:t xml:space="preserve">esperienza della </w:t>
            </w:r>
            <w:r w:rsidRPr="00DE2F04">
              <w:rPr>
                <w:rFonts w:cs="Arial"/>
                <w:b/>
                <w:i/>
                <w:sz w:val="22"/>
              </w:rPr>
              <w:t>gelosia</w:t>
            </w:r>
            <w:r w:rsidRPr="00DE2F04">
              <w:rPr>
                <w:rFonts w:cs="Arial"/>
                <w:i/>
                <w:sz w:val="22"/>
              </w:rPr>
              <w:t xml:space="preserve"> propria o altrui </w:t>
            </w:r>
            <w:r w:rsidRPr="00DE2F04">
              <w:rPr>
                <w:rFonts w:cs="Arial"/>
                <w:sz w:val="22"/>
              </w:rPr>
              <w:t xml:space="preserve">e trovare motivi per </w:t>
            </w:r>
            <w:r w:rsidRPr="00DE2F04">
              <w:rPr>
                <w:rFonts w:cs="Arial"/>
                <w:b/>
                <w:i/>
                <w:sz w:val="22"/>
              </w:rPr>
              <w:t>darsi da fare nelle s</w:t>
            </w:r>
            <w:r w:rsidRPr="00DE2F04">
              <w:rPr>
                <w:rFonts w:cs="Arial"/>
                <w:b/>
                <w:i/>
                <w:sz w:val="22"/>
              </w:rPr>
              <w:t>i</w:t>
            </w:r>
            <w:r w:rsidRPr="00DE2F04">
              <w:rPr>
                <w:rFonts w:cs="Arial"/>
                <w:b/>
                <w:i/>
                <w:sz w:val="22"/>
              </w:rPr>
              <w:t>tuazioni di difficoltà</w:t>
            </w:r>
            <w:r w:rsidRPr="00DE2F04">
              <w:rPr>
                <w:rFonts w:cs="Arial"/>
                <w:sz w:val="22"/>
              </w:rPr>
              <w:t xml:space="preserve"> (speranza)</w:t>
            </w:r>
          </w:p>
        </w:tc>
      </w:tr>
      <w:tr w:rsidR="00EF7650" w:rsidRPr="00186BB9" w:rsidTr="00BD29C4">
        <w:tc>
          <w:tcPr>
            <w:tcW w:w="4889" w:type="dxa"/>
          </w:tcPr>
          <w:p w:rsidR="00EF7650" w:rsidRPr="00DE2F04" w:rsidRDefault="00EF7650" w:rsidP="00BD29C4">
            <w:pPr>
              <w:spacing w:line="276" w:lineRule="auto"/>
              <w:jc w:val="both"/>
              <w:rPr>
                <w:sz w:val="22"/>
              </w:rPr>
            </w:pPr>
            <w:r w:rsidRPr="00DE2F04">
              <w:rPr>
                <w:rFonts w:cs="Arial"/>
                <w:b/>
                <w:sz w:val="22"/>
              </w:rPr>
              <w:t>Mosè</w:t>
            </w:r>
            <w:r w:rsidRPr="00DE2F04">
              <w:rPr>
                <w:rFonts w:cs="Arial"/>
                <w:sz w:val="22"/>
              </w:rPr>
              <w:t xml:space="preserve"> chiamato da Dio a liberare il suo </w:t>
            </w:r>
            <w:proofErr w:type="gramStart"/>
            <w:r w:rsidRPr="00DE2F04">
              <w:rPr>
                <w:rFonts w:cs="Arial"/>
                <w:sz w:val="22"/>
              </w:rPr>
              <w:t>popolo</w:t>
            </w:r>
            <w:proofErr w:type="gramEnd"/>
          </w:p>
        </w:tc>
        <w:tc>
          <w:tcPr>
            <w:tcW w:w="4889" w:type="dxa"/>
          </w:tcPr>
          <w:p w:rsidR="00EF7650" w:rsidRPr="00DE2F04" w:rsidRDefault="00EF7650" w:rsidP="00BD29C4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DE2F04">
              <w:rPr>
                <w:rFonts w:cs="Arial"/>
                <w:i/>
                <w:sz w:val="22"/>
              </w:rPr>
              <w:t>trovare</w:t>
            </w:r>
            <w:proofErr w:type="gramEnd"/>
            <w:r w:rsidRPr="00DE2F04">
              <w:rPr>
                <w:rFonts w:cs="Arial"/>
                <w:i/>
                <w:sz w:val="22"/>
              </w:rPr>
              <w:t xml:space="preserve"> incentivi per </w:t>
            </w:r>
            <w:r w:rsidRPr="00DE2F04">
              <w:rPr>
                <w:rFonts w:cs="Arial"/>
                <w:b/>
                <w:i/>
                <w:sz w:val="22"/>
              </w:rPr>
              <w:t>agire in situazioni in cui non ci si sente all’altezza</w:t>
            </w:r>
            <w:r w:rsidRPr="00DE2F04">
              <w:rPr>
                <w:rFonts w:cs="Arial"/>
                <w:i/>
                <w:sz w:val="22"/>
              </w:rPr>
              <w:t xml:space="preserve"> e capire che </w:t>
            </w:r>
            <w:r w:rsidRPr="00DE2F04">
              <w:rPr>
                <w:rFonts w:cs="Arial"/>
                <w:b/>
                <w:i/>
                <w:sz w:val="22"/>
              </w:rPr>
              <w:t>non tutto dipe</w:t>
            </w:r>
            <w:r w:rsidRPr="00DE2F04">
              <w:rPr>
                <w:rFonts w:cs="Arial"/>
                <w:b/>
                <w:i/>
                <w:sz w:val="22"/>
              </w:rPr>
              <w:t>n</w:t>
            </w:r>
            <w:r w:rsidRPr="00DE2F04">
              <w:rPr>
                <w:rFonts w:cs="Arial"/>
                <w:b/>
                <w:i/>
                <w:sz w:val="22"/>
              </w:rPr>
              <w:t xml:space="preserve">de da noi </w:t>
            </w:r>
            <w:r w:rsidRPr="00DE2F04">
              <w:rPr>
                <w:rFonts w:cs="Arial"/>
                <w:i/>
                <w:sz w:val="22"/>
              </w:rPr>
              <w:t>ma è “dato”...</w:t>
            </w:r>
          </w:p>
        </w:tc>
      </w:tr>
      <w:tr w:rsidR="00EF7650" w:rsidRPr="00186BB9" w:rsidTr="00BD29C4">
        <w:tc>
          <w:tcPr>
            <w:tcW w:w="4889" w:type="dxa"/>
          </w:tcPr>
          <w:p w:rsidR="00EF7650" w:rsidRPr="00DE2F04" w:rsidRDefault="00EF7650" w:rsidP="00BD29C4">
            <w:pPr>
              <w:spacing w:line="276" w:lineRule="auto"/>
              <w:jc w:val="both"/>
              <w:rPr>
                <w:rFonts w:cs="Arial"/>
                <w:sz w:val="22"/>
              </w:rPr>
            </w:pPr>
            <w:proofErr w:type="gramStart"/>
            <w:r w:rsidRPr="00DE2F04">
              <w:rPr>
                <w:rFonts w:cs="Arial"/>
                <w:b/>
                <w:sz w:val="22"/>
              </w:rPr>
              <w:t>l’</w:t>
            </w:r>
            <w:proofErr w:type="gramEnd"/>
            <w:r w:rsidRPr="00DE2F04">
              <w:rPr>
                <w:rFonts w:cs="Arial"/>
                <w:b/>
                <w:sz w:val="22"/>
              </w:rPr>
              <w:t>ambiente socio-culturale al tempo di Gesù</w:t>
            </w:r>
            <w:r w:rsidRPr="00DE2F04">
              <w:rPr>
                <w:rFonts w:cs="Arial"/>
                <w:sz w:val="22"/>
              </w:rPr>
              <w:t xml:space="preserve"> (c</w:t>
            </w:r>
            <w:r w:rsidRPr="00DE2F04">
              <w:rPr>
                <w:rFonts w:cs="Arial"/>
                <w:sz w:val="22"/>
              </w:rPr>
              <w:t>o</w:t>
            </w:r>
            <w:r w:rsidRPr="00DE2F04">
              <w:rPr>
                <w:rFonts w:cs="Arial"/>
                <w:sz w:val="22"/>
              </w:rPr>
              <w:t>sa ha fatto Gesù nei confronti della situazione delle donne, dei malati, degli schiavi...)</w:t>
            </w:r>
          </w:p>
        </w:tc>
        <w:tc>
          <w:tcPr>
            <w:tcW w:w="4889" w:type="dxa"/>
          </w:tcPr>
          <w:p w:rsidR="00EF7650" w:rsidRPr="00DE2F04" w:rsidRDefault="00EF7650" w:rsidP="00BD29C4">
            <w:pPr>
              <w:spacing w:line="276" w:lineRule="auto"/>
              <w:jc w:val="both"/>
              <w:rPr>
                <w:rFonts w:cs="Arial"/>
                <w:i/>
                <w:sz w:val="22"/>
              </w:rPr>
            </w:pPr>
            <w:proofErr w:type="gramStart"/>
            <w:r w:rsidRPr="00DE2F04">
              <w:rPr>
                <w:rFonts w:cs="Arial"/>
                <w:i/>
                <w:sz w:val="22"/>
              </w:rPr>
              <w:t>considerare</w:t>
            </w:r>
            <w:proofErr w:type="gramEnd"/>
            <w:r w:rsidRPr="00DE2F04">
              <w:rPr>
                <w:rFonts w:cs="Arial"/>
                <w:i/>
                <w:sz w:val="22"/>
              </w:rPr>
              <w:t xml:space="preserve"> </w:t>
            </w:r>
            <w:r w:rsidRPr="00DE2F04">
              <w:rPr>
                <w:rFonts w:cs="Arial"/>
                <w:b/>
                <w:i/>
                <w:sz w:val="22"/>
              </w:rPr>
              <w:t>il proprio ambiente di vita, di relazi</w:t>
            </w:r>
            <w:r w:rsidRPr="00DE2F04">
              <w:rPr>
                <w:rFonts w:cs="Arial"/>
                <w:b/>
                <w:i/>
                <w:sz w:val="22"/>
              </w:rPr>
              <w:t>o</w:t>
            </w:r>
            <w:r w:rsidRPr="00DE2F04">
              <w:rPr>
                <w:rFonts w:cs="Arial"/>
                <w:b/>
                <w:i/>
                <w:sz w:val="22"/>
              </w:rPr>
              <w:t>ne</w:t>
            </w:r>
            <w:r w:rsidRPr="00DE2F04">
              <w:rPr>
                <w:rFonts w:cs="Arial"/>
                <w:i/>
                <w:sz w:val="22"/>
              </w:rPr>
              <w:t xml:space="preserve"> e valutare le opportunità per migliorarlo...</w:t>
            </w:r>
          </w:p>
        </w:tc>
      </w:tr>
    </w:tbl>
    <w:p w:rsidR="00EF7650" w:rsidRDefault="00EF7650" w:rsidP="00EF7650">
      <w:pPr>
        <w:spacing w:line="276" w:lineRule="auto"/>
        <w:jc w:val="both"/>
        <w:rPr>
          <w:b/>
          <w:i/>
        </w:rPr>
      </w:pPr>
    </w:p>
    <w:p w:rsidR="00EF7650" w:rsidRDefault="00EF7650" w:rsidP="00EF7650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2) </w:t>
      </w:r>
      <w:r>
        <w:t>Un altro spunto di riflessione riguarda</w:t>
      </w:r>
      <w:r w:rsidRPr="003F270E">
        <w:t xml:space="preserve"> </w:t>
      </w:r>
      <w:r w:rsidRPr="003F270E">
        <w:rPr>
          <w:b/>
          <w:i/>
        </w:rPr>
        <w:t>la dimensione simbolica e il superamento della mat</w:t>
      </w:r>
      <w:r w:rsidRPr="003F270E">
        <w:rPr>
          <w:b/>
          <w:i/>
        </w:rPr>
        <w:t>e</w:t>
      </w:r>
      <w:r w:rsidRPr="003F270E">
        <w:rPr>
          <w:b/>
          <w:i/>
        </w:rPr>
        <w:t>rialità</w:t>
      </w:r>
      <w:r>
        <w:rPr>
          <w:i/>
        </w:rPr>
        <w:t xml:space="preserve"> citata da Moral - ma anche </w:t>
      </w:r>
      <w:proofErr w:type="spellStart"/>
      <w:r w:rsidRPr="0021575B">
        <w:rPr>
          <w:i/>
        </w:rPr>
        <w:t>Grządziel</w:t>
      </w:r>
      <w:proofErr w:type="spellEnd"/>
      <w:r>
        <w:rPr>
          <w:i/>
        </w:rPr>
        <w:t xml:space="preserve"> richiama ad </w:t>
      </w:r>
      <w:r w:rsidRPr="002F19EC">
        <w:rPr>
          <w:i/>
        </w:rPr>
        <w:t>esempio</w:t>
      </w:r>
      <w:r w:rsidRPr="003F270E">
        <w:rPr>
          <w:b/>
          <w:i/>
        </w:rPr>
        <w:t xml:space="preserve"> il rischio della mancanza di trascendenza</w:t>
      </w:r>
      <w:r>
        <w:rPr>
          <w:i/>
        </w:rPr>
        <w:t xml:space="preserve"> (mancanza di orizzonti aperti) e anche </w:t>
      </w:r>
      <w:proofErr w:type="spellStart"/>
      <w:r>
        <w:rPr>
          <w:i/>
        </w:rPr>
        <w:t>Pellerey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sottolinea</w:t>
      </w:r>
      <w:proofErr w:type="gramEnd"/>
      <w:r>
        <w:rPr>
          <w:i/>
        </w:rPr>
        <w:t xml:space="preserve"> </w:t>
      </w:r>
      <w:r w:rsidRPr="003F270E">
        <w:rPr>
          <w:b/>
          <w:i/>
        </w:rPr>
        <w:t>l’importanza della d</w:t>
      </w:r>
      <w:r w:rsidRPr="003F270E">
        <w:rPr>
          <w:b/>
          <w:i/>
        </w:rPr>
        <w:t>i</w:t>
      </w:r>
      <w:r w:rsidRPr="003F270E">
        <w:rPr>
          <w:b/>
          <w:i/>
        </w:rPr>
        <w:t>mensione spirituale dell’esistenza umana</w:t>
      </w:r>
      <w:r>
        <w:rPr>
          <w:b/>
          <w:i/>
        </w:rPr>
        <w:t>.</w:t>
      </w:r>
    </w:p>
    <w:p w:rsidR="00EF7650" w:rsidRDefault="00EF7650" w:rsidP="00EF7650">
      <w:pPr>
        <w:spacing w:line="276" w:lineRule="auto"/>
        <w:ind w:firstLine="708"/>
        <w:jc w:val="both"/>
      </w:pPr>
      <w:r w:rsidRPr="002F19EC">
        <w:t>A questo riguardo</w:t>
      </w:r>
      <w:r>
        <w:t>,</w:t>
      </w:r>
      <w:r>
        <w:rPr>
          <w:b/>
          <w:i/>
        </w:rPr>
        <w:t xml:space="preserve"> </w:t>
      </w:r>
      <w:r>
        <w:t>consideriamo che nella scuola primaria, per quanto il pensiero del bambino di questa fascia di età sia prevalentemente operatorio-concreto (ricordiamo a tal prop</w:t>
      </w:r>
      <w:r>
        <w:t>o</w:t>
      </w:r>
      <w:r>
        <w:t xml:space="preserve">sito le classiche fasi di sviluppo indicate da </w:t>
      </w:r>
      <w:proofErr w:type="gramStart"/>
      <w:r w:rsidRPr="00DE0382">
        <w:t>J.</w:t>
      </w:r>
      <w:proofErr w:type="gramEnd"/>
      <w:r w:rsidRPr="00DE0382">
        <w:t xml:space="preserve"> </w:t>
      </w:r>
      <w:proofErr w:type="spellStart"/>
      <w:r w:rsidRPr="00DE0382">
        <w:t>Piaget</w:t>
      </w:r>
      <w:proofErr w:type="spellEnd"/>
      <w:r>
        <w:t xml:space="preserve">), </w:t>
      </w:r>
      <w:r w:rsidRPr="00421E75">
        <w:t>le nostre esperienze di apprendimento aprono comunque il bambino allo sviluppo della dimensione religiosa, scoprendo il senso del mistero che sollecita domande.</w:t>
      </w:r>
      <w:r>
        <w:t xml:space="preserve"> L’IRC nella scuola primaria cerca risposte che richiedono la pr</w:t>
      </w:r>
      <w:r>
        <w:t>e</w:t>
      </w:r>
      <w:r>
        <w:t xml:space="preserve">senza “rassicurante” di un “Assoluto”, una presenza rassicurante di Dio come lo presenta Gesù, cioè come Padre buono (Moral cita il senso </w:t>
      </w:r>
      <w:proofErr w:type="gramStart"/>
      <w:r>
        <w:t xml:space="preserve">di </w:t>
      </w:r>
      <w:proofErr w:type="gramEnd"/>
      <w:r>
        <w:t xml:space="preserve">insicurezza che caratterizza l’esperienza umana e particolarmente quella del bambino). Ricordo a tal proposito </w:t>
      </w:r>
      <w:r w:rsidRPr="000C7D4D">
        <w:rPr>
          <w:b/>
          <w:i/>
        </w:rPr>
        <w:t xml:space="preserve">alcuni esempi che in più occasioni </w:t>
      </w:r>
      <w:proofErr w:type="gramStart"/>
      <w:r w:rsidRPr="000C7D4D">
        <w:rPr>
          <w:b/>
          <w:i/>
        </w:rPr>
        <w:t>ho</w:t>
      </w:r>
      <w:proofErr w:type="gramEnd"/>
      <w:r w:rsidRPr="000C7D4D">
        <w:rPr>
          <w:b/>
          <w:i/>
        </w:rPr>
        <w:t xml:space="preserve"> avuto modo di condividere</w:t>
      </w:r>
      <w:r w:rsidRPr="000C7D4D">
        <w:rPr>
          <w:rStyle w:val="Rimandonotaapidipagina"/>
          <w:b/>
          <w:i/>
        </w:rPr>
        <w:footnoteReference w:id="2"/>
      </w:r>
      <w:r>
        <w:t xml:space="preserve"> </w:t>
      </w:r>
      <w:proofErr w:type="gramStart"/>
      <w:r>
        <w:t>(</w:t>
      </w:r>
      <w:r w:rsidRPr="003F270E">
        <w:rPr>
          <w:b/>
          <w:i/>
        </w:rPr>
        <w:t>l’</w:t>
      </w:r>
      <w:proofErr w:type="gramEnd"/>
      <w:r w:rsidRPr="003F270E">
        <w:rPr>
          <w:b/>
          <w:i/>
        </w:rPr>
        <w:t>esempio del Panino di Giorgio o delle Scarpe di Francesca</w:t>
      </w:r>
      <w:r>
        <w:rPr>
          <w:b/>
          <w:i/>
        </w:rPr>
        <w:t>)</w:t>
      </w:r>
      <w:r>
        <w:t xml:space="preserve"> e che illustrano simpaticamente come </w:t>
      </w:r>
      <w:r w:rsidRPr="000C7D4D">
        <w:rPr>
          <w:b/>
          <w:i/>
        </w:rPr>
        <w:t>da una qualsiasi realtà concreta si possa percorrere la strada della domanda e dell’apertura religiosa</w:t>
      </w:r>
      <w:r>
        <w:rPr>
          <w:b/>
          <w:i/>
        </w:rPr>
        <w:t xml:space="preserve"> anche nell’esperienza pratica del bambino</w:t>
      </w:r>
      <w:r w:rsidRPr="000C7D4D">
        <w:rPr>
          <w:b/>
          <w:i/>
        </w:rPr>
        <w:t>.</w:t>
      </w:r>
    </w:p>
    <w:p w:rsidR="00EF7650" w:rsidRDefault="00EF7650" w:rsidP="00EF7650">
      <w:pPr>
        <w:spacing w:line="276" w:lineRule="auto"/>
      </w:pPr>
    </w:p>
    <w:p w:rsidR="00EF7650" w:rsidRDefault="00EF7650" w:rsidP="00EF7650">
      <w:pPr>
        <w:spacing w:line="276" w:lineRule="auto"/>
        <w:jc w:val="both"/>
      </w:pPr>
      <w:r>
        <w:rPr>
          <w:b/>
          <w:i/>
        </w:rPr>
        <w:t>3)</w:t>
      </w:r>
      <w:r w:rsidRPr="00932C0B">
        <w:rPr>
          <w:b/>
          <w:i/>
        </w:rPr>
        <w:t xml:space="preserve"> </w:t>
      </w:r>
      <w:r>
        <w:t xml:space="preserve">Infine tutto ciò che abbiamo si qui richiamato si ricollega anche alle </w:t>
      </w:r>
      <w:r w:rsidRPr="00173922">
        <w:rPr>
          <w:b/>
          <w:i/>
        </w:rPr>
        <w:t>tre aree formative</w:t>
      </w:r>
      <w:r w:rsidRPr="008B4D05">
        <w:rPr>
          <w:i/>
        </w:rPr>
        <w:t xml:space="preserve"> evidenziate dal Prof. </w:t>
      </w:r>
      <w:proofErr w:type="spellStart"/>
      <w:proofErr w:type="gramStart"/>
      <w:r w:rsidRPr="008B4D05">
        <w:rPr>
          <w:i/>
        </w:rPr>
        <w:t>Pellerey</w:t>
      </w:r>
      <w:proofErr w:type="spellEnd"/>
      <w:r w:rsidRPr="008B4D05">
        <w:rPr>
          <w:i/>
        </w:rPr>
        <w:t xml:space="preserve">: </w:t>
      </w:r>
      <w:r w:rsidRPr="00173922">
        <w:rPr>
          <w:b/>
          <w:i/>
        </w:rPr>
        <w:t>identità personale, progetto esistenziale e capacità di leggere</w:t>
      </w:r>
      <w:r w:rsidRPr="008B4D05">
        <w:rPr>
          <w:i/>
        </w:rPr>
        <w:t xml:space="preserve"> </w:t>
      </w:r>
      <w:r w:rsidRPr="000C7D4D">
        <w:rPr>
          <w:b/>
          <w:i/>
        </w:rPr>
        <w:t>i f</w:t>
      </w:r>
      <w:r w:rsidRPr="000C7D4D">
        <w:rPr>
          <w:b/>
          <w:i/>
        </w:rPr>
        <w:t>e</w:t>
      </w:r>
      <w:r w:rsidRPr="000C7D4D">
        <w:rPr>
          <w:b/>
          <w:i/>
        </w:rPr>
        <w:t>nomeni sociali, familiari, religiosi e culturali</w:t>
      </w:r>
      <w:r w:rsidRPr="000C7D4D">
        <w:rPr>
          <w:b/>
        </w:rPr>
        <w:t>:</w:t>
      </w:r>
      <w:r>
        <w:t xml:space="preserve"> nella scuola primaria l’IRC, come abbiamo visto negli esempi, aiuta il bambino a sviluppare la sua identità personale e la sua capacità di interpr</w:t>
      </w:r>
      <w:r>
        <w:t>e</w:t>
      </w:r>
      <w:r>
        <w:t>tare il mondo intorno a lui.</w:t>
      </w:r>
      <w:proofErr w:type="gramEnd"/>
      <w:r>
        <w:t xml:space="preserve"> Riguardo al progetto esistenziale invece, in questa prima fase di vita del bambino, questo non è legato a “</w:t>
      </w:r>
      <w:r w:rsidRPr="00932C0B">
        <w:rPr>
          <w:i/>
        </w:rPr>
        <w:t>scelte di vita</w:t>
      </w:r>
      <w:r>
        <w:rPr>
          <w:i/>
        </w:rPr>
        <w:t>”</w:t>
      </w:r>
      <w:r>
        <w:t xml:space="preserve">, bensì </w:t>
      </w:r>
      <w:proofErr w:type="gramStart"/>
      <w:r>
        <w:t>ad</w:t>
      </w:r>
      <w:proofErr w:type="gramEnd"/>
      <w:r>
        <w:t xml:space="preserve"> </w:t>
      </w:r>
      <w:r w:rsidRPr="00932C0B">
        <w:rPr>
          <w:b/>
        </w:rPr>
        <w:t>una sorta di “allenamento” nella scelta di stili, di valori, di esempi e così via</w:t>
      </w:r>
      <w:r>
        <w:t xml:space="preserve">: il bambino ha un estremo bisogno di trovare punti di riferimento e modelli che un domani potranno guidarlo in vere e proprie scelte fondamentali di vita. Pensiamo al seguente </w:t>
      </w:r>
      <w:proofErr w:type="gramStart"/>
      <w:r>
        <w:t>ulteriore</w:t>
      </w:r>
      <w:proofErr w:type="gramEnd"/>
      <w:r>
        <w:t xml:space="preserve"> esempio:</w:t>
      </w:r>
    </w:p>
    <w:p w:rsidR="00EF7650" w:rsidRDefault="00EF7650" w:rsidP="00EF7650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F7650" w:rsidRPr="001E061D" w:rsidTr="00BD29C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650" w:rsidRPr="008B4D05" w:rsidRDefault="00EF7650" w:rsidP="00BD29C4">
            <w:pPr>
              <w:spacing w:line="276" w:lineRule="auto"/>
              <w:jc w:val="center"/>
              <w:rPr>
                <w:rFonts w:cs="Arial"/>
                <w:i/>
              </w:rPr>
            </w:pPr>
            <w:r w:rsidRPr="008B4D05">
              <w:rPr>
                <w:rFonts w:cs="Arial"/>
                <w:i/>
              </w:rPr>
              <w:t>ESPERIENZA DI APPRENDIMENTO IRC</w:t>
            </w:r>
          </w:p>
          <w:p w:rsidR="00EF7650" w:rsidRPr="008B4D05" w:rsidRDefault="00EF7650" w:rsidP="00BD29C4">
            <w:pPr>
              <w:spacing w:line="276" w:lineRule="auto"/>
              <w:jc w:val="center"/>
              <w:rPr>
                <w:rFonts w:cs="Arial"/>
              </w:rPr>
            </w:pPr>
            <w:r w:rsidRPr="008B4D05">
              <w:rPr>
                <w:rFonts w:cs="Arial"/>
                <w:i/>
              </w:rPr>
              <w:t>LEGATA A...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7650" w:rsidRDefault="00EF7650" w:rsidP="00BD29C4">
            <w:pPr>
              <w:spacing w:line="27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DIMENSIONE DI CRESCITA UMANA</w:t>
            </w:r>
          </w:p>
          <w:p w:rsidR="00EF7650" w:rsidRPr="001E061D" w:rsidRDefault="00EF7650" w:rsidP="00BD29C4">
            <w:pPr>
              <w:spacing w:line="27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(COMPETENZA DI VITA)</w:t>
            </w:r>
          </w:p>
        </w:tc>
      </w:tr>
      <w:tr w:rsidR="00EF7650" w:rsidRPr="00186BB9" w:rsidTr="00BD29C4">
        <w:tc>
          <w:tcPr>
            <w:tcW w:w="4889" w:type="dxa"/>
          </w:tcPr>
          <w:p w:rsidR="00EF7650" w:rsidRPr="00186BB9" w:rsidRDefault="00EF7650" w:rsidP="00BD29C4">
            <w:pPr>
              <w:spacing w:line="276" w:lineRule="auto"/>
              <w:jc w:val="both"/>
              <w:rPr>
                <w:rFonts w:cs="Arial"/>
              </w:rPr>
            </w:pPr>
            <w:r w:rsidRPr="00186BB9">
              <w:rPr>
                <w:rFonts w:cs="Arial"/>
              </w:rPr>
              <w:t xml:space="preserve">La </w:t>
            </w:r>
            <w:r w:rsidRPr="00186BB9">
              <w:rPr>
                <w:rFonts w:cs="Arial"/>
                <w:b/>
              </w:rPr>
              <w:t>parabola del fariseo e del pubblicano</w:t>
            </w:r>
            <w:r w:rsidRPr="00186BB9">
              <w:rPr>
                <w:rFonts w:cs="Arial"/>
                <w:i/>
              </w:rPr>
              <w:t xml:space="preserve"> </w:t>
            </w:r>
            <w:r w:rsidRPr="00186BB9">
              <w:rPr>
                <w:rFonts w:cs="Arial"/>
              </w:rPr>
              <w:t>na</w:t>
            </w:r>
            <w:r w:rsidRPr="00186BB9">
              <w:rPr>
                <w:rFonts w:cs="Arial"/>
              </w:rPr>
              <w:t>r</w:t>
            </w:r>
            <w:r w:rsidRPr="00186BB9">
              <w:rPr>
                <w:rFonts w:cs="Arial"/>
              </w:rPr>
              <w:t xml:space="preserve">rata nel Vangelo di </w:t>
            </w:r>
            <w:proofErr w:type="gramStart"/>
            <w:r w:rsidRPr="00186BB9">
              <w:rPr>
                <w:rFonts w:cs="Arial"/>
              </w:rPr>
              <w:t>Luca</w:t>
            </w:r>
            <w:proofErr w:type="gramEnd"/>
          </w:p>
        </w:tc>
        <w:tc>
          <w:tcPr>
            <w:tcW w:w="4889" w:type="dxa"/>
          </w:tcPr>
          <w:p w:rsidR="00EF7650" w:rsidRPr="00186BB9" w:rsidRDefault="00EF7650" w:rsidP="00BD29C4">
            <w:pPr>
              <w:spacing w:line="276" w:lineRule="auto"/>
              <w:jc w:val="both"/>
              <w:rPr>
                <w:rFonts w:cs="Arial"/>
                <w:i/>
              </w:rPr>
            </w:pPr>
            <w:proofErr w:type="gramStart"/>
            <w:r w:rsidRPr="00186BB9">
              <w:rPr>
                <w:rFonts w:cs="Arial"/>
                <w:i/>
              </w:rPr>
              <w:t>valutare</w:t>
            </w:r>
            <w:proofErr w:type="gramEnd"/>
            <w:r w:rsidRPr="00186BB9">
              <w:rPr>
                <w:rFonts w:cs="Arial"/>
                <w:i/>
              </w:rPr>
              <w:t xml:space="preserve"> </w:t>
            </w:r>
            <w:r w:rsidRPr="00186BB9">
              <w:rPr>
                <w:rFonts w:cs="Arial"/>
                <w:b/>
                <w:i/>
              </w:rPr>
              <w:t>atteggiamenti di umiltà e  presunzi</w:t>
            </w:r>
            <w:r w:rsidRPr="00186BB9">
              <w:rPr>
                <w:rFonts w:cs="Arial"/>
                <w:b/>
                <w:i/>
              </w:rPr>
              <w:t>o</w:t>
            </w:r>
            <w:r w:rsidRPr="00186BB9">
              <w:rPr>
                <w:rFonts w:cs="Arial"/>
                <w:b/>
                <w:i/>
              </w:rPr>
              <w:t>ne</w:t>
            </w:r>
            <w:r w:rsidRPr="00186BB9">
              <w:rPr>
                <w:rFonts w:cs="Arial"/>
                <w:i/>
              </w:rPr>
              <w:t xml:space="preserve"> nel comportamento personale e altrui</w:t>
            </w:r>
          </w:p>
        </w:tc>
      </w:tr>
    </w:tbl>
    <w:p w:rsidR="00EF7650" w:rsidRDefault="00EF7650" w:rsidP="00EF7650">
      <w:pPr>
        <w:spacing w:line="276" w:lineRule="auto"/>
        <w:jc w:val="both"/>
      </w:pPr>
      <w:r>
        <w:t xml:space="preserve">Da queste riflessioni e </w:t>
      </w:r>
      <w:proofErr w:type="gramStart"/>
      <w:r>
        <w:t>in</w:t>
      </w:r>
      <w:proofErr w:type="gramEnd"/>
      <w:r>
        <w:t xml:space="preserve"> riferimento alle domande indicate dai Prof. </w:t>
      </w:r>
      <w:proofErr w:type="gramStart"/>
      <w:r>
        <w:t>nelle</w:t>
      </w:r>
      <w:proofErr w:type="gramEnd"/>
      <w:r>
        <w:t xml:space="preserve"> loro relazioni, </w:t>
      </w:r>
      <w:r w:rsidRPr="001321DF">
        <w:t>pr</w:t>
      </w:r>
      <w:r w:rsidRPr="001321DF">
        <w:t>o</w:t>
      </w:r>
      <w:r w:rsidRPr="001321DF">
        <w:t>pongo nei laboratori di lavorare in particolar modo su:</w:t>
      </w:r>
    </w:p>
    <w:p w:rsidR="00EF7650" w:rsidRPr="001321DF" w:rsidRDefault="00EF7650" w:rsidP="00EF76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</w:rPr>
      </w:pPr>
      <w:proofErr w:type="gramStart"/>
      <w:r w:rsidRPr="001321DF">
        <w:rPr>
          <w:b/>
          <w:i/>
        </w:rPr>
        <w:t>come</w:t>
      </w:r>
      <w:proofErr w:type="gramEnd"/>
      <w:r w:rsidRPr="001321DF">
        <w:rPr>
          <w:b/>
          <w:i/>
        </w:rPr>
        <w:t xml:space="preserve"> “decifrare” </w:t>
      </w:r>
      <w:r>
        <w:rPr>
          <w:b/>
          <w:i/>
        </w:rPr>
        <w:t xml:space="preserve">meglio </w:t>
      </w:r>
      <w:r w:rsidRPr="001321DF">
        <w:rPr>
          <w:b/>
          <w:i/>
        </w:rPr>
        <w:t>i bisogni “scritti”, dati, nell’essere umano “bambino”</w:t>
      </w:r>
      <w:r>
        <w:rPr>
          <w:b/>
          <w:i/>
        </w:rPr>
        <w:t xml:space="preserve"> per un apprendimento maggiormente significativo sul piano dello sviluppo dell’alunno</w:t>
      </w:r>
      <w:r w:rsidRPr="001321DF">
        <w:rPr>
          <w:b/>
          <w:i/>
        </w:rPr>
        <w:t>?</w:t>
      </w:r>
    </w:p>
    <w:p w:rsidR="00EF7650" w:rsidRPr="001321DF" w:rsidRDefault="00EF7650" w:rsidP="00EF76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</w:rPr>
      </w:pPr>
      <w:r w:rsidRPr="001321DF">
        <w:rPr>
          <w:b/>
          <w:i/>
        </w:rPr>
        <w:t>Come integrare (nel POF</w:t>
      </w:r>
      <w:r>
        <w:rPr>
          <w:b/>
          <w:i/>
        </w:rPr>
        <w:t xml:space="preserve"> e dunque anche nell’IRC</w:t>
      </w:r>
      <w:r w:rsidRPr="001321DF">
        <w:rPr>
          <w:b/>
          <w:i/>
        </w:rPr>
        <w:t xml:space="preserve">) finalità didattiche e </w:t>
      </w:r>
      <w:proofErr w:type="gramStart"/>
      <w:r w:rsidRPr="001321DF">
        <w:rPr>
          <w:b/>
          <w:i/>
        </w:rPr>
        <w:t>finalità</w:t>
      </w:r>
      <w:proofErr w:type="gramEnd"/>
      <w:r w:rsidRPr="001321DF">
        <w:rPr>
          <w:b/>
          <w:i/>
        </w:rPr>
        <w:t xml:space="preserve"> ed</w:t>
      </w:r>
      <w:r w:rsidRPr="001321DF">
        <w:rPr>
          <w:b/>
          <w:i/>
        </w:rPr>
        <w:t>u</w:t>
      </w:r>
      <w:r w:rsidRPr="001321DF">
        <w:rPr>
          <w:b/>
          <w:i/>
        </w:rPr>
        <w:t>cative attese non solo dalla scuola ma anche dalla famiglia?</w:t>
      </w:r>
    </w:p>
    <w:p w:rsidR="00EF7650" w:rsidRDefault="00EF7650" w:rsidP="00EF7650">
      <w:pPr>
        <w:spacing w:line="276" w:lineRule="auto"/>
        <w:jc w:val="both"/>
      </w:pPr>
      <w:r>
        <w:t>Sarà poi occasione fruttuosa invece il corso estivo, a mio parere, per sviluppare al meglio le d</w:t>
      </w:r>
      <w:r>
        <w:t>o</w:t>
      </w:r>
      <w:r>
        <w:t xml:space="preserve">mande poste dal Prof. </w:t>
      </w:r>
      <w:proofErr w:type="spellStart"/>
      <w:r>
        <w:t>Pellerey</w:t>
      </w:r>
      <w:proofErr w:type="spellEnd"/>
      <w:r>
        <w:t xml:space="preserve"> che richiedono invece un più ampio spazio di lavoro riguardo al profilo di competenza e il contributo che l’IRC può portare in questa prospettiva.</w:t>
      </w:r>
    </w:p>
    <w:p w:rsidR="00EF7650" w:rsidRDefault="00EF7650" w:rsidP="00EF7650">
      <w:pPr>
        <w:spacing w:line="276" w:lineRule="auto"/>
        <w:jc w:val="both"/>
      </w:pPr>
      <w:r>
        <w:t xml:space="preserve">Chiudo con </w:t>
      </w:r>
      <w:r w:rsidRPr="00E9689F">
        <w:rPr>
          <w:b/>
          <w:i/>
        </w:rPr>
        <w:t>uno spunto per la ricerca accademica</w:t>
      </w:r>
      <w:r>
        <w:t xml:space="preserve">: forse </w:t>
      </w:r>
      <w:r w:rsidRPr="00932C0B">
        <w:rPr>
          <w:b/>
          <w:i/>
        </w:rPr>
        <w:t xml:space="preserve">è </w:t>
      </w:r>
      <w:r>
        <w:rPr>
          <w:b/>
          <w:i/>
        </w:rPr>
        <w:t xml:space="preserve">davvero </w:t>
      </w:r>
      <w:r w:rsidRPr="00932C0B">
        <w:rPr>
          <w:b/>
          <w:i/>
        </w:rPr>
        <w:t>urgente</w:t>
      </w:r>
      <w:r w:rsidRPr="007E0581">
        <w:rPr>
          <w:i/>
        </w:rPr>
        <w:t xml:space="preserve">, </w:t>
      </w:r>
      <w:r w:rsidRPr="00421E75">
        <w:t xml:space="preserve">come suggerisce </w:t>
      </w:r>
      <w:proofErr w:type="spellStart"/>
      <w:r w:rsidRPr="00421E75">
        <w:t>Pellerey</w:t>
      </w:r>
      <w:proofErr w:type="spellEnd"/>
      <w:r w:rsidRPr="007E0581">
        <w:rPr>
          <w:i/>
        </w:rPr>
        <w:t xml:space="preserve">, </w:t>
      </w:r>
      <w:r w:rsidRPr="00932C0B">
        <w:rPr>
          <w:b/>
          <w:i/>
        </w:rPr>
        <w:t>un ripensamento del rapporto religione-educazione</w:t>
      </w:r>
      <w:r>
        <w:t>; occorre trovare vie per andare o</w:t>
      </w:r>
      <w:r>
        <w:t>l</w:t>
      </w:r>
      <w:r>
        <w:t xml:space="preserve">tre i pregiudizi che porterebbero </w:t>
      </w:r>
      <w:proofErr w:type="gramStart"/>
      <w:r>
        <w:t>ad</w:t>
      </w:r>
      <w:proofErr w:type="gramEnd"/>
      <w:r>
        <w:t xml:space="preserve"> escludere questa dimensione dai percorsi formativi scolastici e verso la scoperta delle potenzialità formative legate ad una delle sfere essenziali dell’umanità: la sua insopprimibile apertura verso quell’orizzonte trascendente che il nostro carissimo Don Z</w:t>
      </w:r>
      <w:r>
        <w:t>e</w:t>
      </w:r>
      <w:r>
        <w:t xml:space="preserve">lindo </w:t>
      </w:r>
      <w:proofErr w:type="spellStart"/>
      <w:r>
        <w:t>Trenti</w:t>
      </w:r>
      <w:proofErr w:type="spellEnd"/>
      <w:r>
        <w:t>, che ricordiamo con grandissima stima e riconoscenza, non si stancava mai di ind</w:t>
      </w:r>
      <w:r>
        <w:t>i</w:t>
      </w:r>
      <w:r>
        <w:t>carci.</w:t>
      </w:r>
    </w:p>
    <w:p w:rsidR="004C1A98" w:rsidRDefault="004C1A98" w:rsidP="00EF7650"/>
    <w:sectPr w:rsidR="004C1A98" w:rsidSect="000C45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50" w:rsidRDefault="00EF7650" w:rsidP="00EF7650">
      <w:r>
        <w:separator/>
      </w:r>
    </w:p>
  </w:endnote>
  <w:endnote w:type="continuationSeparator" w:id="0">
    <w:p w:rsidR="00EF7650" w:rsidRDefault="00EF7650" w:rsidP="00EF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50" w:rsidRDefault="00EF7650" w:rsidP="00EF7650">
      <w:r>
        <w:separator/>
      </w:r>
    </w:p>
  </w:footnote>
  <w:footnote w:type="continuationSeparator" w:id="0">
    <w:p w:rsidR="00EF7650" w:rsidRDefault="00EF7650" w:rsidP="00EF7650">
      <w:r>
        <w:continuationSeparator/>
      </w:r>
    </w:p>
  </w:footnote>
  <w:footnote w:id="1">
    <w:p w:rsidR="00EF7650" w:rsidRPr="00DE2F04" w:rsidRDefault="00EF7650" w:rsidP="00EF7650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E2F04">
        <w:rPr>
          <w:rFonts w:ascii="Times New Roman" w:hAnsi="Times New Roman"/>
          <w:sz w:val="20"/>
          <w:szCs w:val="20"/>
        </w:rPr>
        <w:t xml:space="preserve">Cfr. </w:t>
      </w:r>
      <w:r w:rsidRPr="00DE2F04">
        <w:rPr>
          <w:rFonts w:ascii="Times New Roman" w:hAnsi="Times New Roman"/>
          <w:i/>
          <w:sz w:val="20"/>
          <w:szCs w:val="20"/>
        </w:rPr>
        <w:t>Indicazioni Nazionali per il Curricolo Infanzia e Primo Ciclo</w:t>
      </w:r>
      <w:r w:rsidRPr="00DE2F04">
        <w:rPr>
          <w:rFonts w:ascii="Times New Roman" w:hAnsi="Times New Roman"/>
          <w:sz w:val="20"/>
          <w:szCs w:val="20"/>
        </w:rPr>
        <w:t xml:space="preserve"> (DM 254/2012); </w:t>
      </w:r>
      <w:r w:rsidRPr="00DE2F04">
        <w:rPr>
          <w:rFonts w:ascii="Times New Roman" w:hAnsi="Times New Roman"/>
          <w:i/>
          <w:sz w:val="20"/>
          <w:szCs w:val="20"/>
        </w:rPr>
        <w:t>Linee Guida Licei</w:t>
      </w:r>
      <w:r w:rsidRPr="00DE2F04">
        <w:rPr>
          <w:rFonts w:ascii="Times New Roman" w:hAnsi="Times New Roman"/>
          <w:sz w:val="20"/>
          <w:szCs w:val="20"/>
        </w:rPr>
        <w:t xml:space="preserve"> (D. M. 211/2010); </w:t>
      </w:r>
      <w:r w:rsidRPr="00DE2F04">
        <w:rPr>
          <w:rFonts w:ascii="Times New Roman" w:hAnsi="Times New Roman"/>
          <w:i/>
          <w:sz w:val="20"/>
          <w:szCs w:val="20"/>
        </w:rPr>
        <w:t>Linee Guida Tecnici</w:t>
      </w:r>
      <w:r w:rsidRPr="00DE2F04">
        <w:rPr>
          <w:rFonts w:ascii="Times New Roman" w:hAnsi="Times New Roman"/>
          <w:sz w:val="20"/>
          <w:szCs w:val="20"/>
        </w:rPr>
        <w:t xml:space="preserve"> (D</w:t>
      </w:r>
      <w:proofErr w:type="gramEnd"/>
      <w:r w:rsidRPr="00DE2F04">
        <w:rPr>
          <w:rFonts w:ascii="Times New Roman" w:hAnsi="Times New Roman"/>
          <w:sz w:val="20"/>
          <w:szCs w:val="20"/>
        </w:rPr>
        <w:t xml:space="preserve">irettiva 57/2010; Direttiva 4/2012); </w:t>
      </w:r>
      <w:r w:rsidRPr="00DE2F04">
        <w:rPr>
          <w:rFonts w:ascii="Times New Roman" w:hAnsi="Times New Roman"/>
          <w:i/>
          <w:sz w:val="20"/>
          <w:szCs w:val="20"/>
        </w:rPr>
        <w:t>Linee Guida Professionali</w:t>
      </w:r>
      <w:r w:rsidRPr="00DE2F04">
        <w:rPr>
          <w:rFonts w:ascii="Times New Roman" w:hAnsi="Times New Roman"/>
          <w:sz w:val="20"/>
          <w:szCs w:val="20"/>
        </w:rPr>
        <w:t xml:space="preserve"> (Direttiva 65/2010; Direttiva 5/2012); </w:t>
      </w:r>
      <w:r w:rsidRPr="00DE2F04">
        <w:rPr>
          <w:rFonts w:ascii="Times New Roman" w:hAnsi="Times New Roman"/>
          <w:i/>
          <w:sz w:val="20"/>
          <w:szCs w:val="20"/>
        </w:rPr>
        <w:t xml:space="preserve">Linee Guida </w:t>
      </w:r>
      <w:proofErr w:type="spellStart"/>
      <w:r w:rsidRPr="00DE2F04">
        <w:rPr>
          <w:rFonts w:ascii="Times New Roman" w:hAnsi="Times New Roman"/>
          <w:i/>
          <w:sz w:val="20"/>
          <w:szCs w:val="20"/>
        </w:rPr>
        <w:t>IeFP</w:t>
      </w:r>
      <w:proofErr w:type="spellEnd"/>
      <w:r w:rsidRPr="00DE2F04">
        <w:rPr>
          <w:rFonts w:ascii="Times New Roman" w:hAnsi="Times New Roman"/>
          <w:sz w:val="20"/>
          <w:szCs w:val="20"/>
        </w:rPr>
        <w:t xml:space="preserve"> (Decreto 4/2011). Vedi anche </w:t>
      </w:r>
      <w:r w:rsidRPr="00DE2F04">
        <w:rPr>
          <w:rFonts w:ascii="Times New Roman" w:hAnsi="Times New Roman"/>
          <w:i/>
          <w:sz w:val="20"/>
          <w:szCs w:val="20"/>
        </w:rPr>
        <w:t>Traguardi e Indicazioni-Linee Guida IRC</w:t>
      </w:r>
      <w:r w:rsidRPr="00DE2F04">
        <w:rPr>
          <w:rFonts w:ascii="Times New Roman" w:hAnsi="Times New Roman"/>
          <w:sz w:val="20"/>
          <w:szCs w:val="20"/>
        </w:rPr>
        <w:t xml:space="preserve"> (DPR 11 febbraio 2010; DPR 20 agosto 2012).</w:t>
      </w:r>
    </w:p>
  </w:footnote>
  <w:footnote w:id="2">
    <w:p w:rsidR="00EF7650" w:rsidRDefault="00EF7650" w:rsidP="00EF7650">
      <w:pPr>
        <w:pStyle w:val="Testonotaapidipagina"/>
        <w:jc w:val="both"/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</w:rPr>
        <w:t xml:space="preserve"> Cfr. C. CARNEVALE, </w:t>
      </w:r>
      <w:r w:rsidRPr="00DE2F04">
        <w:rPr>
          <w:rFonts w:ascii="Times New Roman" w:hAnsi="Times New Roman"/>
          <w:i/>
          <w:sz w:val="20"/>
          <w:szCs w:val="20"/>
        </w:rPr>
        <w:t xml:space="preserve">Progettare per competenze nell’IRC. </w:t>
      </w:r>
      <w:proofErr w:type="gramStart"/>
      <w:r w:rsidRPr="00DE2F04">
        <w:rPr>
          <w:rFonts w:ascii="Times New Roman" w:hAnsi="Times New Roman"/>
          <w:i/>
          <w:sz w:val="20"/>
          <w:szCs w:val="20"/>
        </w:rPr>
        <w:t>Il nuovo quadro delle Indicazioni Nazionali</w:t>
      </w:r>
      <w:r w:rsidRPr="00DE2F04">
        <w:rPr>
          <w:rFonts w:ascii="Times New Roman" w:hAnsi="Times New Roman"/>
          <w:sz w:val="20"/>
          <w:szCs w:val="20"/>
        </w:rPr>
        <w:t>, LDC-IL Capitello, Torino 2013.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962"/>
    <w:multiLevelType w:val="hybridMultilevel"/>
    <w:tmpl w:val="59A4445A"/>
    <w:lvl w:ilvl="0" w:tplc="023E8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0"/>
    <w:rsid w:val="000C45B3"/>
    <w:rsid w:val="004C1A98"/>
    <w:rsid w:val="00E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0E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65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7650"/>
    <w:pPr>
      <w:keepNext/>
      <w:spacing w:before="240" w:after="60"/>
      <w:outlineLvl w:val="0"/>
    </w:pPr>
    <w:rPr>
      <w:rFonts w:ascii="Berlin Sans FB Demi" w:hAnsi="Berlin Sans FB Dem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F7650"/>
    <w:rPr>
      <w:rFonts w:ascii="Berlin Sans FB Demi" w:eastAsia="Times New Roman" w:hAnsi="Berlin Sans FB Demi" w:cs="Times New Roman"/>
      <w:b/>
      <w:bCs/>
      <w:kern w:val="32"/>
      <w:sz w:val="32"/>
      <w:szCs w:val="32"/>
    </w:rPr>
  </w:style>
  <w:style w:type="character" w:customStyle="1" w:styleId="Maiuscoletto">
    <w:name w:val="Maiuscoletto"/>
    <w:uiPriority w:val="1"/>
    <w:rsid w:val="00EF7650"/>
    <w:rPr>
      <w:rFonts w:ascii="Candara" w:hAnsi="Candara"/>
      <w:sz w:val="24"/>
      <w:szCs w:val="24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EF7650"/>
    <w:rPr>
      <w:rFonts w:ascii="Candara" w:eastAsia="Calibri" w:hAnsi="Candara"/>
      <w:lang w:eastAsia="en-US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EF7650"/>
    <w:rPr>
      <w:rFonts w:ascii="Candara" w:eastAsia="Calibri" w:hAnsi="Candara" w:cs="Times New Roman"/>
      <w:lang w:eastAsia="en-US"/>
    </w:rPr>
  </w:style>
  <w:style w:type="character" w:styleId="Rimandonotaapidipagina">
    <w:name w:val="footnote reference"/>
    <w:aliases w:val="Footnote symbol"/>
    <w:unhideWhenUsed/>
    <w:rsid w:val="00EF7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65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7650"/>
    <w:pPr>
      <w:keepNext/>
      <w:spacing w:before="240" w:after="60"/>
      <w:outlineLvl w:val="0"/>
    </w:pPr>
    <w:rPr>
      <w:rFonts w:ascii="Berlin Sans FB Demi" w:hAnsi="Berlin Sans FB Dem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F7650"/>
    <w:rPr>
      <w:rFonts w:ascii="Berlin Sans FB Demi" w:eastAsia="Times New Roman" w:hAnsi="Berlin Sans FB Demi" w:cs="Times New Roman"/>
      <w:b/>
      <w:bCs/>
      <w:kern w:val="32"/>
      <w:sz w:val="32"/>
      <w:szCs w:val="32"/>
    </w:rPr>
  </w:style>
  <w:style w:type="character" w:customStyle="1" w:styleId="Maiuscoletto">
    <w:name w:val="Maiuscoletto"/>
    <w:uiPriority w:val="1"/>
    <w:rsid w:val="00EF7650"/>
    <w:rPr>
      <w:rFonts w:ascii="Candara" w:hAnsi="Candara"/>
      <w:sz w:val="24"/>
      <w:szCs w:val="24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EF7650"/>
    <w:rPr>
      <w:rFonts w:ascii="Candara" w:eastAsia="Calibri" w:hAnsi="Candara"/>
      <w:lang w:eastAsia="en-US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EF7650"/>
    <w:rPr>
      <w:rFonts w:ascii="Candara" w:eastAsia="Calibri" w:hAnsi="Candara" w:cs="Times New Roman"/>
      <w:lang w:eastAsia="en-US"/>
    </w:rPr>
  </w:style>
  <w:style w:type="character" w:styleId="Rimandonotaapidipagina">
    <w:name w:val="footnote reference"/>
    <w:aliases w:val="Footnote symbol"/>
    <w:unhideWhenUsed/>
    <w:rsid w:val="00EF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5850</Characters>
  <Application>Microsoft Macintosh Word</Application>
  <DocSecurity>0</DocSecurity>
  <Lines>48</Lines>
  <Paragraphs>13</Paragraphs>
  <ScaleCrop>false</ScaleCrop>
  <Company>UPS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 ica</dc:creator>
  <cp:keywords/>
  <dc:description/>
  <cp:lastModifiedBy>RPR ica</cp:lastModifiedBy>
  <cp:revision>1</cp:revision>
  <dcterms:created xsi:type="dcterms:W3CDTF">2016-03-07T11:24:00Z</dcterms:created>
  <dcterms:modified xsi:type="dcterms:W3CDTF">2016-03-07T11:25:00Z</dcterms:modified>
</cp:coreProperties>
</file>