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45" w:rsidRPr="00237728" w:rsidRDefault="00890F45" w:rsidP="00890F45">
      <w:pPr>
        <w:pStyle w:val="Titolo1"/>
        <w:jc w:val="center"/>
        <w:rPr>
          <w:rStyle w:val="Maiuscoletto"/>
        </w:rPr>
      </w:pPr>
      <w:bookmarkStart w:id="0" w:name="_Toc444858855"/>
      <w:bookmarkStart w:id="1" w:name="_Toc444858940"/>
      <w:bookmarkStart w:id="2" w:name="_Toc444859957"/>
      <w:bookmarkStart w:id="3" w:name="_Toc444861091"/>
      <w:bookmarkStart w:id="4" w:name="_GoBack"/>
      <w:r w:rsidRPr="00237728">
        <w:rPr>
          <w:rStyle w:val="Maiuscoletto"/>
        </w:rPr>
        <w:t xml:space="preserve">R5: </w:t>
      </w:r>
      <w:bookmarkStart w:id="5" w:name="_Toc444858856"/>
      <w:bookmarkStart w:id="6" w:name="_Toc444858941"/>
      <w:r w:rsidRPr="00237728">
        <w:t>Giampaolo Usai</w:t>
      </w:r>
      <w:bookmarkEnd w:id="5"/>
      <w:bookmarkEnd w:id="6"/>
      <w:r>
        <w:t xml:space="preserve"> - </w:t>
      </w:r>
      <w:r w:rsidRPr="00237728">
        <w:t xml:space="preserve">Educazione religiosa: pensare e agire </w:t>
      </w:r>
      <w:proofErr w:type="gramStart"/>
      <w:r w:rsidRPr="00237728">
        <w:t>scolasticamente</w:t>
      </w:r>
      <w:bookmarkEnd w:id="0"/>
      <w:bookmarkEnd w:id="1"/>
      <w:bookmarkEnd w:id="2"/>
      <w:bookmarkEnd w:id="3"/>
      <w:proofErr w:type="gramEnd"/>
    </w:p>
    <w:bookmarkEnd w:id="4"/>
    <w:p w:rsidR="00890F45" w:rsidRPr="00EB7D1B" w:rsidRDefault="00890F45" w:rsidP="00890F45">
      <w:pPr>
        <w:spacing w:line="276" w:lineRule="auto"/>
        <w:jc w:val="both"/>
      </w:pPr>
    </w:p>
    <w:p w:rsidR="00890F45" w:rsidRPr="00EB7D1B" w:rsidRDefault="00890F45" w:rsidP="00890F45">
      <w:pPr>
        <w:spacing w:line="276" w:lineRule="auto"/>
        <w:jc w:val="both"/>
      </w:pPr>
    </w:p>
    <w:p w:rsidR="00890F45" w:rsidRPr="00EB7D1B" w:rsidRDefault="00890F45" w:rsidP="00890F45">
      <w:pPr>
        <w:spacing w:line="276" w:lineRule="auto"/>
        <w:ind w:firstLine="708"/>
        <w:jc w:val="both"/>
        <w:rPr>
          <w:b/>
        </w:rPr>
      </w:pPr>
      <w:r w:rsidRPr="00EB7D1B">
        <w:rPr>
          <w:b/>
        </w:rPr>
        <w:t>Una visione dell’educazione religiosa</w:t>
      </w:r>
    </w:p>
    <w:p w:rsidR="00890F45" w:rsidRPr="00EB7D1B" w:rsidRDefault="00890F45" w:rsidP="00890F45">
      <w:pPr>
        <w:spacing w:line="276" w:lineRule="auto"/>
        <w:jc w:val="both"/>
      </w:pPr>
    </w:p>
    <w:p w:rsidR="00890F45" w:rsidRPr="00EB7D1B" w:rsidRDefault="00890F45" w:rsidP="00890F45">
      <w:pPr>
        <w:spacing w:line="276" w:lineRule="auto"/>
        <w:ind w:right="-1"/>
        <w:jc w:val="both"/>
      </w:pPr>
      <w:r w:rsidRPr="00EB7D1B">
        <w:t xml:space="preserve">«Nel </w:t>
      </w:r>
      <w:proofErr w:type="gramStart"/>
      <w:r w:rsidRPr="00EB7D1B">
        <w:t>contesto</w:t>
      </w:r>
      <w:proofErr w:type="gramEnd"/>
      <w:r w:rsidRPr="00EB7D1B">
        <w:t xml:space="preserve"> </w:t>
      </w:r>
      <w:proofErr w:type="spellStart"/>
      <w:r w:rsidRPr="00EB7D1B">
        <w:t>pluriculturale</w:t>
      </w:r>
      <w:proofErr w:type="spellEnd"/>
      <w:r w:rsidRPr="00EB7D1B">
        <w:t xml:space="preserve"> e </w:t>
      </w:r>
      <w:proofErr w:type="spellStart"/>
      <w:r w:rsidRPr="00EB7D1B">
        <w:t>multireligioso</w:t>
      </w:r>
      <w:proofErr w:type="spellEnd"/>
      <w:r w:rsidRPr="00EB7D1B">
        <w:t>, che va sempre più caratterizzando la nostra società, le spinte al confronto e al ripensamento delle tradizionali strategie educative sono molte e co</w:t>
      </w:r>
      <w:r w:rsidRPr="00EB7D1B">
        <w:t>m</w:t>
      </w:r>
      <w:r w:rsidRPr="00EB7D1B">
        <w:t xml:space="preserve">plesse. La conseguenza più </w:t>
      </w:r>
      <w:proofErr w:type="gramStart"/>
      <w:r w:rsidRPr="00EB7D1B">
        <w:t>vistosa</w:t>
      </w:r>
      <w:proofErr w:type="gramEnd"/>
      <w:r w:rsidRPr="00EB7D1B">
        <w:t xml:space="preserve"> è che l’impegno educativo si porta su versanti fortemente di</w:t>
      </w:r>
      <w:r w:rsidRPr="00EB7D1B">
        <w:t>f</w:t>
      </w:r>
      <w:r w:rsidRPr="00EB7D1B">
        <w:t>ferenziati: in sintesi si può dire che l’educazione specificamente confessionale tende a dilatare i propri parametri; accetta il dialogo con altre confessioni (ricerca ecumenica) e con diverse rel</w:t>
      </w:r>
      <w:r w:rsidRPr="00EB7D1B">
        <w:t>i</w:t>
      </w:r>
      <w:r w:rsidRPr="00EB7D1B">
        <w:t xml:space="preserve">gioni. </w:t>
      </w:r>
      <w:proofErr w:type="gramStart"/>
      <w:r w:rsidRPr="00EB7D1B">
        <w:t>[…</w:t>
      </w:r>
      <w:proofErr w:type="gramEnd"/>
      <w:r w:rsidRPr="00EB7D1B">
        <w:t>] Cambia l’obiettivo dell’educazione religiosa: da una preoccupazione sostanzialmente trasmissiva tende a situarsi più direttamente nel quadro di una complessiva maturazione umana, esplorandovi la funzione specifica della religione</w:t>
      </w:r>
    </w:p>
    <w:p w:rsidR="00890F45" w:rsidRPr="00EB7D1B" w:rsidRDefault="00890F45" w:rsidP="00890F45">
      <w:pPr>
        <w:spacing w:line="276" w:lineRule="auto"/>
        <w:jc w:val="both"/>
      </w:pPr>
      <w:r w:rsidRPr="00EB7D1B">
        <w:t>(</w:t>
      </w:r>
      <w:proofErr w:type="gramStart"/>
      <w:r w:rsidRPr="00EB7D1B">
        <w:rPr>
          <w:smallCaps/>
        </w:rPr>
        <w:t>Z.</w:t>
      </w:r>
      <w:proofErr w:type="gramEnd"/>
      <w:r w:rsidRPr="00EB7D1B">
        <w:rPr>
          <w:smallCaps/>
        </w:rPr>
        <w:t xml:space="preserve"> </w:t>
      </w:r>
      <w:proofErr w:type="spellStart"/>
      <w:r w:rsidRPr="00EB7D1B">
        <w:rPr>
          <w:smallCaps/>
        </w:rPr>
        <w:t>Trenti</w:t>
      </w:r>
      <w:proofErr w:type="spellEnd"/>
      <w:r w:rsidRPr="00EB7D1B">
        <w:t xml:space="preserve">, </w:t>
      </w:r>
      <w:r w:rsidRPr="00EB7D1B">
        <w:rPr>
          <w:i/>
        </w:rPr>
        <w:t>Educazione religiosa</w:t>
      </w:r>
      <w:r w:rsidRPr="00EB7D1B">
        <w:t xml:space="preserve">, in J.M. </w:t>
      </w:r>
      <w:proofErr w:type="spellStart"/>
      <w:r w:rsidRPr="00EB7D1B">
        <w:t>Prellezo</w:t>
      </w:r>
      <w:proofErr w:type="spellEnd"/>
      <w:r w:rsidRPr="00EB7D1B">
        <w:t xml:space="preserve"> – C. Nanni – G. Malizia (a cura di) </w:t>
      </w:r>
      <w:r w:rsidRPr="00EB7D1B">
        <w:rPr>
          <w:i/>
        </w:rPr>
        <w:t>Dizionario di scienze dell’educazione</w:t>
      </w:r>
      <w:r w:rsidRPr="00EB7D1B">
        <w:t>, LDC-LAS-SEI, Torino-Roma, 1997, 361.)</w:t>
      </w:r>
    </w:p>
    <w:p w:rsidR="00890F45" w:rsidRPr="00EB7D1B" w:rsidRDefault="00890F45" w:rsidP="00890F45">
      <w:pPr>
        <w:spacing w:line="276" w:lineRule="auto"/>
        <w:jc w:val="both"/>
      </w:pPr>
    </w:p>
    <w:p w:rsidR="00890F45" w:rsidRPr="00EB7D1B" w:rsidRDefault="00890F45" w:rsidP="00890F45">
      <w:pPr>
        <w:spacing w:line="276" w:lineRule="auto"/>
        <w:ind w:firstLine="708"/>
        <w:jc w:val="both"/>
        <w:rPr>
          <w:b/>
        </w:rPr>
      </w:pPr>
      <w:r w:rsidRPr="00EB7D1B">
        <w:rPr>
          <w:b/>
        </w:rPr>
        <w:t>Una visione dell’IRC</w:t>
      </w:r>
    </w:p>
    <w:p w:rsidR="00890F45" w:rsidRPr="00EB7D1B" w:rsidRDefault="00890F45" w:rsidP="00890F45">
      <w:pPr>
        <w:spacing w:line="276" w:lineRule="auto"/>
        <w:jc w:val="both"/>
      </w:pPr>
    </w:p>
    <w:p w:rsidR="00890F45" w:rsidRPr="00EB7D1B" w:rsidRDefault="00890F45" w:rsidP="00890F45">
      <w:pPr>
        <w:spacing w:line="276" w:lineRule="auto"/>
        <w:ind w:firstLine="708"/>
        <w:jc w:val="both"/>
      </w:pPr>
      <w:r w:rsidRPr="00EB7D1B">
        <w:t xml:space="preserve">«Un processo di </w:t>
      </w:r>
      <w:proofErr w:type="spellStart"/>
      <w:r w:rsidRPr="00EB7D1B">
        <w:rPr>
          <w:i/>
        </w:rPr>
        <w:t>scolarizzazone</w:t>
      </w:r>
      <w:proofErr w:type="spellEnd"/>
      <w:r w:rsidRPr="00EB7D1B">
        <w:rPr>
          <w:i/>
        </w:rPr>
        <w:t xml:space="preserve"> intrinseca</w:t>
      </w:r>
      <w:r w:rsidRPr="00EB7D1B">
        <w:t xml:space="preserve"> è quello che ci sembra essere stato compiuto dall’IRC </w:t>
      </w:r>
      <w:proofErr w:type="spellStart"/>
      <w:r w:rsidRPr="00EB7D1B">
        <w:t>neoconcordatario</w:t>
      </w:r>
      <w:proofErr w:type="spellEnd"/>
      <w:r w:rsidRPr="00EB7D1B">
        <w:t xml:space="preserve"> pur in mezzo a innumerevoli difficoltà e contraddizioni: è la natura di vera e propria disciplina scolastica </w:t>
      </w:r>
      <w:proofErr w:type="gramStart"/>
      <w:r w:rsidRPr="00EB7D1B">
        <w:t>ad</w:t>
      </w:r>
      <w:proofErr w:type="gramEnd"/>
      <w:r w:rsidRPr="00EB7D1B">
        <w:t xml:space="preserve"> essere stata messa in gioco, accettando la sfida del co</w:t>
      </w:r>
      <w:r w:rsidRPr="00EB7D1B">
        <w:t>n</w:t>
      </w:r>
      <w:r w:rsidRPr="00EB7D1B">
        <w:t xml:space="preserve">fronto con le finalità della scuola, che sul piano didattico ed epistemologico sono l’affermazione più impegnativa del nuovo Concordato. Più che di un “confronto” con quelle finalità si è trattato di una “assunzione” perché l’IRC non si è limitato </w:t>
      </w:r>
      <w:proofErr w:type="gramStart"/>
      <w:r w:rsidRPr="00EB7D1B">
        <w:t>ad</w:t>
      </w:r>
      <w:proofErr w:type="gramEnd"/>
      <w:r w:rsidRPr="00EB7D1B">
        <w:t xml:space="preserve"> una scolarizzazione estrinseca e posticcia (che di fatto non sarebbe stata una novità) ma ha cercato di trasformarsi dall’interno, decidendo di mantenere una duplice fedeltà: alla Chiesa, per quanto riguarda l’autenticità dei contenuti da insegnare, e allo Stato (o – più semplicemente – alla scuola), per quanto riguarda le modalità “laiche” della sua pratica. In realtà non è stato necessario scegliere o mediare tra i due versanti perché entrambe le parti sono – almeno in teoria – accomunate da un’identica finalità di servizio educativo alla persona dell’alunno. Nella misura in cui la scuola ha una finalità </w:t>
      </w:r>
      <w:proofErr w:type="gramStart"/>
      <w:r w:rsidRPr="00EB7D1B">
        <w:t>educativa l’</w:t>
      </w:r>
      <w:proofErr w:type="gramEnd"/>
      <w:r w:rsidRPr="00EB7D1B">
        <w:t>IRC può riconoscervisi e operare al suo interno con lealtà ed efficacia.»</w:t>
      </w:r>
    </w:p>
    <w:p w:rsidR="00890F45" w:rsidRPr="00EB7D1B" w:rsidRDefault="00890F45" w:rsidP="00890F45">
      <w:pPr>
        <w:spacing w:line="276" w:lineRule="auto"/>
        <w:jc w:val="both"/>
      </w:pPr>
      <w:proofErr w:type="gramStart"/>
      <w:r w:rsidRPr="00EB7D1B">
        <w:rPr>
          <w:smallCaps/>
        </w:rPr>
        <w:t>(</w:t>
      </w:r>
      <w:proofErr w:type="gramEnd"/>
      <w:r w:rsidRPr="00EB7D1B">
        <w:rPr>
          <w:smallCaps/>
        </w:rPr>
        <w:t>S. Cicatelli</w:t>
      </w:r>
      <w:r w:rsidRPr="00EB7D1B">
        <w:t>,</w:t>
      </w:r>
      <w:r w:rsidRPr="00EB7D1B">
        <w:rPr>
          <w:i/>
        </w:rPr>
        <w:t xml:space="preserve"> Guida all’insegnamento della religione cattolica. Secondo le nuove Indicazioni</w:t>
      </w:r>
      <w:r w:rsidRPr="00EB7D1B">
        <w:t>, La Scuola, Brescia, 2015, 353-354.</w:t>
      </w:r>
      <w:proofErr w:type="gramStart"/>
      <w:r w:rsidRPr="00EB7D1B">
        <w:t>)</w:t>
      </w:r>
      <w:proofErr w:type="gramEnd"/>
    </w:p>
    <w:p w:rsidR="00890F45" w:rsidRPr="00EB7D1B" w:rsidRDefault="00890F45" w:rsidP="00890F45">
      <w:pPr>
        <w:spacing w:line="276" w:lineRule="auto"/>
        <w:jc w:val="both"/>
      </w:pPr>
    </w:p>
    <w:p w:rsidR="00890F45" w:rsidRPr="00EB7D1B" w:rsidRDefault="00890F45" w:rsidP="00890F45">
      <w:pPr>
        <w:spacing w:line="276" w:lineRule="auto"/>
        <w:jc w:val="both"/>
      </w:pPr>
    </w:p>
    <w:p w:rsidR="00890F45" w:rsidRPr="00EB7D1B" w:rsidRDefault="00890F45" w:rsidP="00890F45">
      <w:pPr>
        <w:spacing w:line="276" w:lineRule="auto"/>
        <w:ind w:firstLine="360"/>
        <w:jc w:val="both"/>
        <w:rPr>
          <w:b/>
        </w:rPr>
      </w:pPr>
      <w:r w:rsidRPr="00EB7D1B">
        <w:rPr>
          <w:b/>
        </w:rPr>
        <w:t>Educare</w:t>
      </w:r>
    </w:p>
    <w:p w:rsidR="00890F45" w:rsidRPr="00EB7D1B" w:rsidRDefault="00890F45" w:rsidP="00890F45">
      <w:pPr>
        <w:spacing w:line="276" w:lineRule="auto"/>
        <w:jc w:val="both"/>
      </w:pPr>
    </w:p>
    <w:p w:rsidR="00890F45" w:rsidRPr="00EB7D1B" w:rsidRDefault="00890F45" w:rsidP="00890F45">
      <w:pPr>
        <w:numPr>
          <w:ilvl w:val="0"/>
          <w:numId w:val="1"/>
        </w:numPr>
        <w:spacing w:line="276" w:lineRule="auto"/>
        <w:jc w:val="both"/>
      </w:pPr>
      <w:proofErr w:type="gramStart"/>
      <w:r w:rsidRPr="00EB7D1B">
        <w:t xml:space="preserve">Accompagnare la persona nel </w:t>
      </w:r>
      <w:r w:rsidRPr="00EB7D1B">
        <w:rPr>
          <w:i/>
          <w:iCs/>
        </w:rPr>
        <w:t>cammino di appropriazione delle matrici interpretative della realtà</w:t>
      </w:r>
      <w:r w:rsidRPr="00EB7D1B">
        <w:t>, cioè nell’acquisizione della cultura.</w:t>
      </w:r>
      <w:proofErr w:type="gramEnd"/>
    </w:p>
    <w:p w:rsidR="00890F45" w:rsidRPr="00EB7D1B" w:rsidRDefault="00890F45" w:rsidP="00890F45">
      <w:pPr>
        <w:numPr>
          <w:ilvl w:val="0"/>
          <w:numId w:val="1"/>
        </w:numPr>
        <w:spacing w:line="276" w:lineRule="auto"/>
        <w:jc w:val="both"/>
      </w:pPr>
      <w:r w:rsidRPr="00EB7D1B">
        <w:t xml:space="preserve"> </w:t>
      </w:r>
      <w:proofErr w:type="gramStart"/>
      <w:r w:rsidRPr="00EB7D1B">
        <w:t xml:space="preserve">Sostenere l’individuo nel confronto con la realtà personale e collettiva, predisponendo un </w:t>
      </w:r>
      <w:r w:rsidRPr="00EB7D1B">
        <w:rPr>
          <w:i/>
          <w:iCs/>
        </w:rPr>
        <w:t>tirocinio per il proficuo esercizio della respons</w:t>
      </w:r>
      <w:proofErr w:type="gramEnd"/>
      <w:r w:rsidRPr="00EB7D1B">
        <w:rPr>
          <w:i/>
          <w:iCs/>
        </w:rPr>
        <w:t>abilità cosciente</w:t>
      </w:r>
      <w:r w:rsidRPr="00EB7D1B">
        <w:t>.</w:t>
      </w:r>
    </w:p>
    <w:p w:rsidR="00890F45" w:rsidRPr="00EB7D1B" w:rsidRDefault="00890F45" w:rsidP="00890F45">
      <w:pPr>
        <w:spacing w:line="276" w:lineRule="auto"/>
        <w:jc w:val="both"/>
      </w:pPr>
    </w:p>
    <w:p w:rsidR="00890F45" w:rsidRPr="00EB7D1B" w:rsidRDefault="00890F45" w:rsidP="00890F45">
      <w:pPr>
        <w:spacing w:line="276" w:lineRule="auto"/>
        <w:ind w:firstLine="360"/>
        <w:jc w:val="both"/>
        <w:rPr>
          <w:b/>
        </w:rPr>
      </w:pPr>
      <w:r w:rsidRPr="00EB7D1B">
        <w:rPr>
          <w:b/>
        </w:rPr>
        <w:lastRenderedPageBreak/>
        <w:t xml:space="preserve">Mediazione </w:t>
      </w:r>
      <w:proofErr w:type="gramStart"/>
      <w:r w:rsidRPr="00EB7D1B">
        <w:rPr>
          <w:b/>
        </w:rPr>
        <w:t>significativa</w:t>
      </w:r>
      <w:proofErr w:type="gramEnd"/>
    </w:p>
    <w:p w:rsidR="00890F45" w:rsidRPr="00EB7D1B" w:rsidRDefault="00890F45" w:rsidP="00890F45">
      <w:pPr>
        <w:spacing w:line="276" w:lineRule="auto"/>
        <w:jc w:val="both"/>
      </w:pPr>
    </w:p>
    <w:p w:rsidR="00890F45" w:rsidRPr="00EB7D1B" w:rsidRDefault="00890F45" w:rsidP="00890F45">
      <w:pPr>
        <w:spacing w:line="276" w:lineRule="auto"/>
        <w:jc w:val="both"/>
      </w:pPr>
      <w:r w:rsidRPr="00EB7D1B">
        <w:t xml:space="preserve">L’educazione si pone come una </w:t>
      </w:r>
      <w:r w:rsidRPr="00EB7D1B">
        <w:rPr>
          <w:i/>
          <w:iCs/>
        </w:rPr>
        <w:t xml:space="preserve">mediazione </w:t>
      </w:r>
      <w:proofErr w:type="gramStart"/>
      <w:r w:rsidRPr="00EB7D1B">
        <w:rPr>
          <w:i/>
          <w:iCs/>
        </w:rPr>
        <w:t>significativa</w:t>
      </w:r>
      <w:proofErr w:type="gramEnd"/>
      <w:r w:rsidRPr="00EB7D1B">
        <w:t xml:space="preserve"> tra la persona ed il mondo: </w:t>
      </w:r>
    </w:p>
    <w:p w:rsidR="00890F45" w:rsidRPr="00EB7D1B" w:rsidRDefault="00890F45" w:rsidP="00890F45">
      <w:pPr>
        <w:numPr>
          <w:ilvl w:val="0"/>
          <w:numId w:val="2"/>
        </w:numPr>
        <w:spacing w:line="276" w:lineRule="auto"/>
        <w:jc w:val="both"/>
      </w:pPr>
      <w:proofErr w:type="gramStart"/>
      <w:r w:rsidRPr="00EB7D1B">
        <w:t>come</w:t>
      </w:r>
      <w:proofErr w:type="gramEnd"/>
      <w:r w:rsidRPr="00EB7D1B">
        <w:t xml:space="preserve"> </w:t>
      </w:r>
      <w:r w:rsidRPr="00EB7D1B">
        <w:rPr>
          <w:i/>
          <w:iCs/>
        </w:rPr>
        <w:t>mediazione</w:t>
      </w:r>
      <w:r w:rsidRPr="00EB7D1B">
        <w:t xml:space="preserve"> perché getta un ponte, attiva il dialogo tra la persona ed il mondo;</w:t>
      </w:r>
    </w:p>
    <w:p w:rsidR="00890F45" w:rsidRPr="00EB7D1B" w:rsidRDefault="00890F45" w:rsidP="00890F45">
      <w:pPr>
        <w:numPr>
          <w:ilvl w:val="0"/>
          <w:numId w:val="2"/>
        </w:numPr>
        <w:spacing w:line="276" w:lineRule="auto"/>
        <w:jc w:val="both"/>
      </w:pPr>
      <w:proofErr w:type="gramStart"/>
      <w:r w:rsidRPr="00EB7D1B">
        <w:t>come</w:t>
      </w:r>
      <w:proofErr w:type="gramEnd"/>
      <w:r w:rsidRPr="00EB7D1B">
        <w:t xml:space="preserve"> </w:t>
      </w:r>
      <w:r w:rsidRPr="00EB7D1B">
        <w:rPr>
          <w:i/>
          <w:iCs/>
        </w:rPr>
        <w:t xml:space="preserve">mediazione significativa </w:t>
      </w:r>
      <w:r w:rsidRPr="00EB7D1B">
        <w:t>in quanto il dialogo non si svolge attorno ad una qualu</w:t>
      </w:r>
      <w:r w:rsidRPr="00EB7D1B">
        <w:t>n</w:t>
      </w:r>
      <w:r w:rsidRPr="00EB7D1B">
        <w:t>que osservazione del mondo, ma in merito ai criteri interpretativi del reale ed ai valori di riferimento per la libertà, cioè in merito alla relazione tra la persona e la cultura.</w:t>
      </w:r>
    </w:p>
    <w:p w:rsidR="00890F45" w:rsidRPr="00EB7D1B" w:rsidRDefault="00890F45" w:rsidP="00890F45">
      <w:pPr>
        <w:spacing w:line="276" w:lineRule="auto"/>
        <w:jc w:val="both"/>
      </w:pPr>
    </w:p>
    <w:p w:rsidR="00890F45" w:rsidRPr="00EB7D1B" w:rsidRDefault="00890F45" w:rsidP="00890F45">
      <w:pPr>
        <w:spacing w:line="276" w:lineRule="auto"/>
        <w:ind w:firstLine="360"/>
        <w:jc w:val="both"/>
        <w:rPr>
          <w:b/>
        </w:rPr>
      </w:pPr>
      <w:r w:rsidRPr="00EB7D1B">
        <w:rPr>
          <w:b/>
        </w:rPr>
        <w:t>Educabilità della religione</w:t>
      </w:r>
    </w:p>
    <w:p w:rsidR="00890F45" w:rsidRPr="00EB7D1B" w:rsidRDefault="00890F45" w:rsidP="00890F45">
      <w:pPr>
        <w:spacing w:line="276" w:lineRule="auto"/>
        <w:jc w:val="both"/>
      </w:pPr>
    </w:p>
    <w:p w:rsidR="00890F45" w:rsidRPr="00EB7D1B" w:rsidRDefault="00890F45" w:rsidP="00890F45">
      <w:pPr>
        <w:spacing w:line="276" w:lineRule="auto"/>
        <w:jc w:val="both"/>
      </w:pPr>
      <w:r w:rsidRPr="00EB7D1B">
        <w:t xml:space="preserve">Possibilità reale che l’aspetto religioso dell’esperienza umana sia oggetto della mediazione </w:t>
      </w:r>
      <w:proofErr w:type="gramStart"/>
      <w:r w:rsidRPr="00EB7D1B">
        <w:t>sign</w:t>
      </w:r>
      <w:r w:rsidRPr="00EB7D1B">
        <w:t>i</w:t>
      </w:r>
      <w:r w:rsidRPr="00EB7D1B">
        <w:t>ficativa</w:t>
      </w:r>
      <w:proofErr w:type="gramEnd"/>
      <w:r w:rsidRPr="00EB7D1B">
        <w:t xml:space="preserve"> tra persona e mondo. </w:t>
      </w:r>
    </w:p>
    <w:p w:rsidR="00890F45" w:rsidRPr="00EB7D1B" w:rsidRDefault="00890F45" w:rsidP="00890F45">
      <w:pPr>
        <w:spacing w:line="276" w:lineRule="auto"/>
        <w:jc w:val="both"/>
      </w:pPr>
    </w:p>
    <w:p w:rsidR="00890F45" w:rsidRPr="00EB7D1B" w:rsidRDefault="00890F45" w:rsidP="00890F45">
      <w:pPr>
        <w:spacing w:line="276" w:lineRule="auto"/>
        <w:ind w:firstLine="708"/>
        <w:jc w:val="both"/>
        <w:rPr>
          <w:b/>
        </w:rPr>
      </w:pPr>
      <w:proofErr w:type="spellStart"/>
      <w:r w:rsidRPr="00EB7D1B">
        <w:rPr>
          <w:b/>
        </w:rPr>
        <w:t>Educatività</w:t>
      </w:r>
      <w:proofErr w:type="spellEnd"/>
      <w:r w:rsidRPr="00EB7D1B">
        <w:rPr>
          <w:b/>
        </w:rPr>
        <w:t xml:space="preserve"> della religione</w:t>
      </w:r>
    </w:p>
    <w:p w:rsidR="00890F45" w:rsidRPr="00EB7D1B" w:rsidRDefault="00890F45" w:rsidP="00890F45">
      <w:pPr>
        <w:spacing w:line="276" w:lineRule="auto"/>
        <w:jc w:val="both"/>
      </w:pPr>
    </w:p>
    <w:p w:rsidR="00890F45" w:rsidRPr="00EB7D1B" w:rsidRDefault="00890F45" w:rsidP="00890F45">
      <w:pPr>
        <w:spacing w:line="276" w:lineRule="auto"/>
        <w:jc w:val="both"/>
      </w:pPr>
      <w:r w:rsidRPr="00EB7D1B">
        <w:t xml:space="preserve">La religione appresa a scuola è educativa nel senso che, svelando orizzonti nuovi, </w:t>
      </w:r>
      <w:proofErr w:type="gramStart"/>
      <w:r w:rsidRPr="00EB7D1B">
        <w:t>promuovendo</w:t>
      </w:r>
      <w:proofErr w:type="gramEnd"/>
      <w:r w:rsidRPr="00EB7D1B">
        <w:t xml:space="preserve"> l’accesso al possibile “altro” da ciò che già fa parte del bagaglio individuale, abilita ad un’efficace penetrazione dell’esperienza, ad un’attiva elaborazione della cultura, ad affrontare le sfide della vita con significato e ampiezza di vedute.</w:t>
      </w:r>
    </w:p>
    <w:p w:rsidR="00890F45" w:rsidRPr="00EB7D1B" w:rsidRDefault="00890F45" w:rsidP="00890F45">
      <w:pPr>
        <w:spacing w:line="276" w:lineRule="auto"/>
        <w:jc w:val="both"/>
      </w:pPr>
    </w:p>
    <w:p w:rsidR="00890F45" w:rsidRPr="00EB7D1B" w:rsidRDefault="00890F45" w:rsidP="00890F45">
      <w:pPr>
        <w:spacing w:line="276" w:lineRule="auto"/>
        <w:ind w:firstLine="708"/>
        <w:jc w:val="both"/>
        <w:rPr>
          <w:b/>
        </w:rPr>
      </w:pPr>
      <w:r w:rsidRPr="00EB7D1B">
        <w:rPr>
          <w:b/>
        </w:rPr>
        <w:t xml:space="preserve">Educabilità </w:t>
      </w:r>
      <w:proofErr w:type="gramStart"/>
      <w:r w:rsidRPr="00EB7D1B">
        <w:rPr>
          <w:b/>
        </w:rPr>
        <w:t>ed</w:t>
      </w:r>
      <w:proofErr w:type="gramEnd"/>
      <w:r w:rsidRPr="00EB7D1B">
        <w:rPr>
          <w:b/>
        </w:rPr>
        <w:t xml:space="preserve"> </w:t>
      </w:r>
      <w:proofErr w:type="spellStart"/>
      <w:r w:rsidRPr="00EB7D1B">
        <w:rPr>
          <w:b/>
        </w:rPr>
        <w:t>Educatività</w:t>
      </w:r>
      <w:proofErr w:type="spellEnd"/>
      <w:r w:rsidRPr="00EB7D1B">
        <w:rPr>
          <w:b/>
        </w:rPr>
        <w:t xml:space="preserve"> in campo scolastico</w:t>
      </w:r>
    </w:p>
    <w:p w:rsidR="00890F45" w:rsidRPr="00EB7D1B" w:rsidRDefault="00890F45" w:rsidP="00890F45">
      <w:pPr>
        <w:spacing w:line="276" w:lineRule="auto"/>
        <w:jc w:val="both"/>
      </w:pPr>
      <w:r w:rsidRPr="00EB7D1B">
        <w:rPr>
          <w:bCs/>
          <w:i/>
          <w:iCs/>
        </w:rPr>
        <w:t>Apprendimento</w:t>
      </w:r>
      <w:r w:rsidRPr="00EB7D1B">
        <w:rPr>
          <w:bCs/>
        </w:rPr>
        <w:t xml:space="preserve"> e </w:t>
      </w:r>
      <w:r w:rsidRPr="00EB7D1B">
        <w:rPr>
          <w:bCs/>
          <w:i/>
          <w:iCs/>
        </w:rPr>
        <w:t>sapere</w:t>
      </w:r>
      <w:r w:rsidRPr="00EB7D1B">
        <w:rPr>
          <w:b/>
          <w:bCs/>
        </w:rPr>
        <w:t xml:space="preserve"> </w:t>
      </w:r>
      <w:r w:rsidRPr="00EB7D1B">
        <w:t xml:space="preserve">sono le principali condizioni di traduzione delle qualifiche pedagogiche della religione in campo scolastico, poiché grazie </w:t>
      </w:r>
      <w:proofErr w:type="gramStart"/>
      <w:r w:rsidRPr="00EB7D1B">
        <w:t>ad</w:t>
      </w:r>
      <w:proofErr w:type="gramEnd"/>
      <w:r w:rsidRPr="00EB7D1B">
        <w:t xml:space="preserve"> essi sono possibili la mediazione dei sign</w:t>
      </w:r>
      <w:r w:rsidRPr="00EB7D1B">
        <w:t>i</w:t>
      </w:r>
      <w:r w:rsidRPr="00EB7D1B">
        <w:t>ficati ed il dialogo con la realtà.</w:t>
      </w:r>
    </w:p>
    <w:p w:rsidR="00890F45" w:rsidRPr="00EB7D1B" w:rsidRDefault="00890F45" w:rsidP="00890F45">
      <w:pPr>
        <w:spacing w:line="276" w:lineRule="auto"/>
        <w:jc w:val="both"/>
      </w:pPr>
    </w:p>
    <w:p w:rsidR="00890F45" w:rsidRPr="00EB7D1B" w:rsidRDefault="00890F45" w:rsidP="00890F45">
      <w:pPr>
        <w:spacing w:line="276" w:lineRule="auto"/>
        <w:ind w:firstLine="708"/>
        <w:jc w:val="both"/>
        <w:rPr>
          <w:b/>
        </w:rPr>
      </w:pPr>
      <w:r w:rsidRPr="00EB7D1B">
        <w:rPr>
          <w:b/>
        </w:rPr>
        <w:t>IRC e Scuola italiana</w:t>
      </w:r>
    </w:p>
    <w:p w:rsidR="00890F45" w:rsidRPr="00EB7D1B" w:rsidRDefault="00890F45" w:rsidP="00890F45">
      <w:pPr>
        <w:spacing w:line="276" w:lineRule="auto"/>
        <w:jc w:val="both"/>
      </w:pPr>
    </w:p>
    <w:p w:rsidR="00890F45" w:rsidRPr="00EB7D1B" w:rsidRDefault="00890F45" w:rsidP="00890F45">
      <w:pPr>
        <w:spacing w:line="276" w:lineRule="auto"/>
        <w:jc w:val="both"/>
      </w:pPr>
      <w:r w:rsidRPr="00EB7D1B">
        <w:t xml:space="preserve">La “scolarizzazione intrinseca” dell’IRC si muove verso l’educazione religiosa. L’avvicinamento sarà efficace quando la Scuola italiana </w:t>
      </w:r>
      <w:proofErr w:type="gramStart"/>
      <w:r w:rsidRPr="00EB7D1B">
        <w:t>recepirà</w:t>
      </w:r>
      <w:proofErr w:type="gramEnd"/>
      <w:r w:rsidRPr="00EB7D1B">
        <w:t xml:space="preserve"> nei fatti e farà diventare cultura pedagogica lo stile educativo tipico dell’IRC. E quando l’IRC sarà libero dai vincoli operativi attuali.</w:t>
      </w:r>
    </w:p>
    <w:p w:rsidR="00890F45" w:rsidRPr="00EB7D1B" w:rsidRDefault="00890F45" w:rsidP="00890F45">
      <w:pPr>
        <w:spacing w:line="276" w:lineRule="auto"/>
        <w:jc w:val="both"/>
      </w:pPr>
    </w:p>
    <w:p w:rsidR="004C1A98" w:rsidRDefault="004C1A98"/>
    <w:sectPr w:rsidR="004C1A98" w:rsidSect="000C45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lin Sans FB Demi">
    <w:altName w:val="Athelas Bold Italic"/>
    <w:charset w:val="00"/>
    <w:family w:val="swiss"/>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2BF"/>
    <w:multiLevelType w:val="hybridMultilevel"/>
    <w:tmpl w:val="02106124"/>
    <w:lvl w:ilvl="0" w:tplc="083C3802">
      <w:start w:val="1"/>
      <w:numFmt w:val="bullet"/>
      <w:lvlText w:val=""/>
      <w:lvlJc w:val="left"/>
      <w:pPr>
        <w:tabs>
          <w:tab w:val="num" w:pos="720"/>
        </w:tabs>
        <w:ind w:left="720" w:hanging="360"/>
      </w:pPr>
      <w:rPr>
        <w:rFonts w:ascii="Wingdings" w:hAnsi="Wingdings" w:hint="default"/>
      </w:rPr>
    </w:lvl>
    <w:lvl w:ilvl="1" w:tplc="FA2CF3A0" w:tentative="1">
      <w:start w:val="1"/>
      <w:numFmt w:val="bullet"/>
      <w:lvlText w:val=""/>
      <w:lvlJc w:val="left"/>
      <w:pPr>
        <w:tabs>
          <w:tab w:val="num" w:pos="1440"/>
        </w:tabs>
        <w:ind w:left="1440" w:hanging="360"/>
      </w:pPr>
      <w:rPr>
        <w:rFonts w:ascii="Wingdings" w:hAnsi="Wingdings" w:hint="default"/>
      </w:rPr>
    </w:lvl>
    <w:lvl w:ilvl="2" w:tplc="FBC6676C" w:tentative="1">
      <w:start w:val="1"/>
      <w:numFmt w:val="bullet"/>
      <w:lvlText w:val=""/>
      <w:lvlJc w:val="left"/>
      <w:pPr>
        <w:tabs>
          <w:tab w:val="num" w:pos="2160"/>
        </w:tabs>
        <w:ind w:left="2160" w:hanging="360"/>
      </w:pPr>
      <w:rPr>
        <w:rFonts w:ascii="Wingdings" w:hAnsi="Wingdings" w:hint="default"/>
      </w:rPr>
    </w:lvl>
    <w:lvl w:ilvl="3" w:tplc="04C079A8" w:tentative="1">
      <w:start w:val="1"/>
      <w:numFmt w:val="bullet"/>
      <w:lvlText w:val=""/>
      <w:lvlJc w:val="left"/>
      <w:pPr>
        <w:tabs>
          <w:tab w:val="num" w:pos="2880"/>
        </w:tabs>
        <w:ind w:left="2880" w:hanging="360"/>
      </w:pPr>
      <w:rPr>
        <w:rFonts w:ascii="Wingdings" w:hAnsi="Wingdings" w:hint="default"/>
      </w:rPr>
    </w:lvl>
    <w:lvl w:ilvl="4" w:tplc="A038F35E" w:tentative="1">
      <w:start w:val="1"/>
      <w:numFmt w:val="bullet"/>
      <w:lvlText w:val=""/>
      <w:lvlJc w:val="left"/>
      <w:pPr>
        <w:tabs>
          <w:tab w:val="num" w:pos="3600"/>
        </w:tabs>
        <w:ind w:left="3600" w:hanging="360"/>
      </w:pPr>
      <w:rPr>
        <w:rFonts w:ascii="Wingdings" w:hAnsi="Wingdings" w:hint="default"/>
      </w:rPr>
    </w:lvl>
    <w:lvl w:ilvl="5" w:tplc="12DCD5F6" w:tentative="1">
      <w:start w:val="1"/>
      <w:numFmt w:val="bullet"/>
      <w:lvlText w:val=""/>
      <w:lvlJc w:val="left"/>
      <w:pPr>
        <w:tabs>
          <w:tab w:val="num" w:pos="4320"/>
        </w:tabs>
        <w:ind w:left="4320" w:hanging="360"/>
      </w:pPr>
      <w:rPr>
        <w:rFonts w:ascii="Wingdings" w:hAnsi="Wingdings" w:hint="default"/>
      </w:rPr>
    </w:lvl>
    <w:lvl w:ilvl="6" w:tplc="E064EC42" w:tentative="1">
      <w:start w:val="1"/>
      <w:numFmt w:val="bullet"/>
      <w:lvlText w:val=""/>
      <w:lvlJc w:val="left"/>
      <w:pPr>
        <w:tabs>
          <w:tab w:val="num" w:pos="5040"/>
        </w:tabs>
        <w:ind w:left="5040" w:hanging="360"/>
      </w:pPr>
      <w:rPr>
        <w:rFonts w:ascii="Wingdings" w:hAnsi="Wingdings" w:hint="default"/>
      </w:rPr>
    </w:lvl>
    <w:lvl w:ilvl="7" w:tplc="3B3823D2" w:tentative="1">
      <w:start w:val="1"/>
      <w:numFmt w:val="bullet"/>
      <w:lvlText w:val=""/>
      <w:lvlJc w:val="left"/>
      <w:pPr>
        <w:tabs>
          <w:tab w:val="num" w:pos="5760"/>
        </w:tabs>
        <w:ind w:left="5760" w:hanging="360"/>
      </w:pPr>
      <w:rPr>
        <w:rFonts w:ascii="Wingdings" w:hAnsi="Wingdings" w:hint="default"/>
      </w:rPr>
    </w:lvl>
    <w:lvl w:ilvl="8" w:tplc="7B362F7C" w:tentative="1">
      <w:start w:val="1"/>
      <w:numFmt w:val="bullet"/>
      <w:lvlText w:val=""/>
      <w:lvlJc w:val="left"/>
      <w:pPr>
        <w:tabs>
          <w:tab w:val="num" w:pos="6480"/>
        </w:tabs>
        <w:ind w:left="6480" w:hanging="360"/>
      </w:pPr>
      <w:rPr>
        <w:rFonts w:ascii="Wingdings" w:hAnsi="Wingdings" w:hint="default"/>
      </w:rPr>
    </w:lvl>
  </w:abstractNum>
  <w:abstractNum w:abstractNumId="1">
    <w:nsid w:val="78DF4ED5"/>
    <w:multiLevelType w:val="hybridMultilevel"/>
    <w:tmpl w:val="78A83E84"/>
    <w:lvl w:ilvl="0" w:tplc="DFBA92B8">
      <w:start w:val="1"/>
      <w:numFmt w:val="bullet"/>
      <w:lvlText w:val=""/>
      <w:lvlJc w:val="left"/>
      <w:pPr>
        <w:tabs>
          <w:tab w:val="num" w:pos="720"/>
        </w:tabs>
        <w:ind w:left="720" w:hanging="360"/>
      </w:pPr>
      <w:rPr>
        <w:rFonts w:ascii="Wingdings" w:hAnsi="Wingdings" w:hint="default"/>
      </w:rPr>
    </w:lvl>
    <w:lvl w:ilvl="1" w:tplc="3F5C3CB2" w:tentative="1">
      <w:start w:val="1"/>
      <w:numFmt w:val="bullet"/>
      <w:lvlText w:val=""/>
      <w:lvlJc w:val="left"/>
      <w:pPr>
        <w:tabs>
          <w:tab w:val="num" w:pos="1440"/>
        </w:tabs>
        <w:ind w:left="1440" w:hanging="360"/>
      </w:pPr>
      <w:rPr>
        <w:rFonts w:ascii="Wingdings" w:hAnsi="Wingdings" w:hint="default"/>
      </w:rPr>
    </w:lvl>
    <w:lvl w:ilvl="2" w:tplc="F770132C" w:tentative="1">
      <w:start w:val="1"/>
      <w:numFmt w:val="bullet"/>
      <w:lvlText w:val=""/>
      <w:lvlJc w:val="left"/>
      <w:pPr>
        <w:tabs>
          <w:tab w:val="num" w:pos="2160"/>
        </w:tabs>
        <w:ind w:left="2160" w:hanging="360"/>
      </w:pPr>
      <w:rPr>
        <w:rFonts w:ascii="Wingdings" w:hAnsi="Wingdings" w:hint="default"/>
      </w:rPr>
    </w:lvl>
    <w:lvl w:ilvl="3" w:tplc="C01A5868" w:tentative="1">
      <w:start w:val="1"/>
      <w:numFmt w:val="bullet"/>
      <w:lvlText w:val=""/>
      <w:lvlJc w:val="left"/>
      <w:pPr>
        <w:tabs>
          <w:tab w:val="num" w:pos="2880"/>
        </w:tabs>
        <w:ind w:left="2880" w:hanging="360"/>
      </w:pPr>
      <w:rPr>
        <w:rFonts w:ascii="Wingdings" w:hAnsi="Wingdings" w:hint="default"/>
      </w:rPr>
    </w:lvl>
    <w:lvl w:ilvl="4" w:tplc="F5CA035A" w:tentative="1">
      <w:start w:val="1"/>
      <w:numFmt w:val="bullet"/>
      <w:lvlText w:val=""/>
      <w:lvlJc w:val="left"/>
      <w:pPr>
        <w:tabs>
          <w:tab w:val="num" w:pos="3600"/>
        </w:tabs>
        <w:ind w:left="3600" w:hanging="360"/>
      </w:pPr>
      <w:rPr>
        <w:rFonts w:ascii="Wingdings" w:hAnsi="Wingdings" w:hint="default"/>
      </w:rPr>
    </w:lvl>
    <w:lvl w:ilvl="5" w:tplc="D6E6D222" w:tentative="1">
      <w:start w:val="1"/>
      <w:numFmt w:val="bullet"/>
      <w:lvlText w:val=""/>
      <w:lvlJc w:val="left"/>
      <w:pPr>
        <w:tabs>
          <w:tab w:val="num" w:pos="4320"/>
        </w:tabs>
        <w:ind w:left="4320" w:hanging="360"/>
      </w:pPr>
      <w:rPr>
        <w:rFonts w:ascii="Wingdings" w:hAnsi="Wingdings" w:hint="default"/>
      </w:rPr>
    </w:lvl>
    <w:lvl w:ilvl="6" w:tplc="2392E686" w:tentative="1">
      <w:start w:val="1"/>
      <w:numFmt w:val="bullet"/>
      <w:lvlText w:val=""/>
      <w:lvlJc w:val="left"/>
      <w:pPr>
        <w:tabs>
          <w:tab w:val="num" w:pos="5040"/>
        </w:tabs>
        <w:ind w:left="5040" w:hanging="360"/>
      </w:pPr>
      <w:rPr>
        <w:rFonts w:ascii="Wingdings" w:hAnsi="Wingdings" w:hint="default"/>
      </w:rPr>
    </w:lvl>
    <w:lvl w:ilvl="7" w:tplc="4D0E9808" w:tentative="1">
      <w:start w:val="1"/>
      <w:numFmt w:val="bullet"/>
      <w:lvlText w:val=""/>
      <w:lvlJc w:val="left"/>
      <w:pPr>
        <w:tabs>
          <w:tab w:val="num" w:pos="5760"/>
        </w:tabs>
        <w:ind w:left="5760" w:hanging="360"/>
      </w:pPr>
      <w:rPr>
        <w:rFonts w:ascii="Wingdings" w:hAnsi="Wingdings" w:hint="default"/>
      </w:rPr>
    </w:lvl>
    <w:lvl w:ilvl="8" w:tplc="E09411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45"/>
    <w:rsid w:val="000C45B3"/>
    <w:rsid w:val="004C1A98"/>
    <w:rsid w:val="00890F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0E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F45"/>
    <w:rPr>
      <w:rFonts w:ascii="Times New Roman" w:eastAsia="Times New Roman" w:hAnsi="Times New Roman" w:cs="Times New Roman"/>
    </w:rPr>
  </w:style>
  <w:style w:type="paragraph" w:styleId="Titolo1">
    <w:name w:val="heading 1"/>
    <w:basedOn w:val="Normale"/>
    <w:next w:val="Normale"/>
    <w:link w:val="Titolo1Carattere"/>
    <w:uiPriority w:val="9"/>
    <w:qFormat/>
    <w:rsid w:val="00890F45"/>
    <w:pPr>
      <w:keepNext/>
      <w:spacing w:before="240" w:after="60"/>
      <w:outlineLvl w:val="0"/>
    </w:pPr>
    <w:rPr>
      <w:rFonts w:ascii="Berlin Sans FB Demi" w:hAnsi="Berlin Sans FB Demi"/>
      <w:b/>
      <w:bCs/>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90F45"/>
    <w:rPr>
      <w:rFonts w:ascii="Berlin Sans FB Demi" w:eastAsia="Times New Roman" w:hAnsi="Berlin Sans FB Demi" w:cs="Times New Roman"/>
      <w:b/>
      <w:bCs/>
      <w:kern w:val="32"/>
      <w:sz w:val="32"/>
      <w:szCs w:val="32"/>
    </w:rPr>
  </w:style>
  <w:style w:type="character" w:customStyle="1" w:styleId="Maiuscoletto">
    <w:name w:val="Maiuscoletto"/>
    <w:uiPriority w:val="1"/>
    <w:rsid w:val="00890F45"/>
    <w:rPr>
      <w:rFonts w:ascii="Candara" w:hAnsi="Candar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F45"/>
    <w:rPr>
      <w:rFonts w:ascii="Times New Roman" w:eastAsia="Times New Roman" w:hAnsi="Times New Roman" w:cs="Times New Roman"/>
    </w:rPr>
  </w:style>
  <w:style w:type="paragraph" w:styleId="Titolo1">
    <w:name w:val="heading 1"/>
    <w:basedOn w:val="Normale"/>
    <w:next w:val="Normale"/>
    <w:link w:val="Titolo1Carattere"/>
    <w:uiPriority w:val="9"/>
    <w:qFormat/>
    <w:rsid w:val="00890F45"/>
    <w:pPr>
      <w:keepNext/>
      <w:spacing w:before="240" w:after="60"/>
      <w:outlineLvl w:val="0"/>
    </w:pPr>
    <w:rPr>
      <w:rFonts w:ascii="Berlin Sans FB Demi" w:hAnsi="Berlin Sans FB Demi"/>
      <w:b/>
      <w:bCs/>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90F45"/>
    <w:rPr>
      <w:rFonts w:ascii="Berlin Sans FB Demi" w:eastAsia="Times New Roman" w:hAnsi="Berlin Sans FB Demi" w:cs="Times New Roman"/>
      <w:b/>
      <w:bCs/>
      <w:kern w:val="32"/>
      <w:sz w:val="32"/>
      <w:szCs w:val="32"/>
    </w:rPr>
  </w:style>
  <w:style w:type="character" w:customStyle="1" w:styleId="Maiuscoletto">
    <w:name w:val="Maiuscoletto"/>
    <w:uiPriority w:val="1"/>
    <w:rsid w:val="00890F45"/>
    <w:rPr>
      <w:rFonts w:ascii="Candara" w:hAnsi="Candar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Macintosh Word</Application>
  <DocSecurity>0</DocSecurity>
  <Lines>30</Lines>
  <Paragraphs>8</Paragraphs>
  <ScaleCrop>false</ScaleCrop>
  <Company>UPS</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 ica</dc:creator>
  <cp:keywords/>
  <dc:description/>
  <cp:lastModifiedBy>RPR ica</cp:lastModifiedBy>
  <cp:revision>1</cp:revision>
  <dcterms:created xsi:type="dcterms:W3CDTF">2016-03-07T11:21:00Z</dcterms:created>
  <dcterms:modified xsi:type="dcterms:W3CDTF">2016-03-07T11:22:00Z</dcterms:modified>
</cp:coreProperties>
</file>