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14:paraId="69163D66" w14:textId="77777777" w:rsidR="00F64970" w:rsidRDefault="00F64970" w:rsidP="00964509">
      <w:pPr>
        <w:pBdr>
          <w:bottom w:val="single" w:sz="4" w:space="1" w:color="auto"/>
        </w:pBd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53E6094" w14:textId="77777777" w:rsidR="00D85B53" w:rsidRPr="00497C68" w:rsidRDefault="00964509" w:rsidP="00497C68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proofErr w:type="gramStart"/>
      <w:r w:rsidRPr="00497C68">
        <w:rPr>
          <w:rFonts w:ascii="Arial" w:hAnsi="Arial" w:cs="Arial"/>
          <w:b/>
          <w:sz w:val="28"/>
          <w:szCs w:val="28"/>
        </w:rPr>
        <w:t>«</w:t>
      </w:r>
      <w:proofErr w:type="gramEnd"/>
      <w:r w:rsidRPr="00497C68">
        <w:rPr>
          <w:rFonts w:ascii="Arial" w:hAnsi="Arial" w:cs="Arial"/>
          <w:b/>
          <w:sz w:val="28"/>
          <w:szCs w:val="28"/>
        </w:rPr>
        <w:t>Situazione ermeneutica» della catechesi in Italia</w:t>
      </w:r>
    </w:p>
    <w:p w14:paraId="150BBE2C" w14:textId="77777777" w:rsidR="00964509" w:rsidRPr="00497C68" w:rsidRDefault="00964509" w:rsidP="00497C68">
      <w:pPr>
        <w:rPr>
          <w:rFonts w:ascii="Arial" w:hAnsi="Arial" w:cs="Arial"/>
          <w:sz w:val="28"/>
          <w:szCs w:val="28"/>
        </w:rPr>
      </w:pPr>
      <w:r w:rsidRPr="00497C68">
        <w:rPr>
          <w:rFonts w:ascii="Arial" w:hAnsi="Arial" w:cs="Arial"/>
          <w:sz w:val="28"/>
          <w:szCs w:val="28"/>
        </w:rPr>
        <w:t>José Luis Moral</w:t>
      </w:r>
    </w:p>
    <w:p w14:paraId="7E8B5E7F" w14:textId="77777777" w:rsidR="00964509" w:rsidRPr="00497C68" w:rsidRDefault="00964509" w:rsidP="00964509">
      <w:pPr>
        <w:ind w:firstLine="567"/>
        <w:rPr>
          <w:rFonts w:ascii="Arial" w:hAnsi="Arial" w:cs="Arial"/>
          <w:sz w:val="28"/>
          <w:szCs w:val="28"/>
        </w:rPr>
      </w:pPr>
    </w:p>
    <w:p w14:paraId="43B51709" w14:textId="77777777" w:rsidR="00F85564" w:rsidRPr="00497C68" w:rsidRDefault="00862F4D" w:rsidP="00F85564">
      <w:pPr>
        <w:ind w:firstLine="567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</w:rPr>
        <w:t>Un paio di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 xml:space="preserve"> osser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vazioni prima di entrare a dire </w:t>
      </w:r>
      <w:r w:rsidRPr="00497C68">
        <w:rPr>
          <w:rFonts w:ascii="Arial" w:eastAsia="Helvetica" w:hAnsi="Arial" w:cs="Arial"/>
          <w:i/>
          <w:color w:val="000000"/>
          <w:sz w:val="28"/>
          <w:szCs w:val="28"/>
        </w:rPr>
        <w:t>due parole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 sull’orizzonte dove collocare l’analisi della situazione della catechesi nel mondo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</w:rPr>
        <w:t>occident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a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le</w:t>
      </w:r>
      <w:proofErr w:type="gramEnd"/>
      <w:r w:rsidR="001B3657" w:rsidRPr="00497C68">
        <w:rPr>
          <w:rStyle w:val="Rimandonotaapidipagina"/>
          <w:rFonts w:ascii="Arial" w:eastAsia="Helvetica" w:hAnsi="Arial" w:cs="Arial"/>
          <w:color w:val="000000"/>
          <w:sz w:val="28"/>
          <w:szCs w:val="28"/>
        </w:rPr>
        <w:footnoteReference w:id="1"/>
      </w:r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</w:rPr>
        <w:t>e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</w:rPr>
        <w:t>, particolarmente, in Italia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. Da un lato, ogni situazione dove inserire la r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i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flessione catechetica è originale; inutile perciò cercare nel passato le ricette che presumibilmente rispond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e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ranno alle sfide che incontra adesso l'annuncio della fede. Dall’altro lato, se il caratt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e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re inedito di ogni congiuntura storica non deve muoverci a considerare che necessariamente viviamo un’epoca più drammatica delle altre, bisogna anche leggere l’evoluzione culturale conte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m</w:t>
      </w:r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 xml:space="preserve">poranea abbandonando deliberatamente ogni interpretazione in termini di semplice crisi, di perdita di valori, di scomparsa della religione e di tramonto della fede. Il Vangelo continua a lavorare oggi nelle coscienze come lo fece in altri tempi: ha tutte le possibilità di essere udito di nuovo come una Buona Novella che </w:t>
      </w:r>
      <w:proofErr w:type="gramStart"/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dà vita</w:t>
      </w:r>
      <w:proofErr w:type="gramEnd"/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 xml:space="preserve">. La sfida che deve affrontare la nostra società e la Chiesa è </w:t>
      </w:r>
      <w:proofErr w:type="gramStart"/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quella di</w:t>
      </w:r>
      <w:proofErr w:type="gramEnd"/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 xml:space="preserve"> lasciarci «generare» a questa nuova vita. In altre parole, si tratta in qualche modo di «ricominciare a </w:t>
      </w:r>
      <w:proofErr w:type="gramStart"/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credere»</w:t>
      </w:r>
      <w:proofErr w:type="gramEnd"/>
      <w:r w:rsidR="00F85564" w:rsidRPr="00497C68">
        <w:rPr>
          <w:rStyle w:val="Rimandonotaapidipagina"/>
          <w:rFonts w:ascii="Arial" w:eastAsia="Helvetica" w:hAnsi="Arial" w:cs="Arial"/>
          <w:color w:val="000000"/>
          <w:sz w:val="28"/>
          <w:szCs w:val="28"/>
        </w:rPr>
        <w:footnoteReference w:id="2"/>
      </w:r>
      <w:proofErr w:type="gramStart"/>
      <w:r w:rsidR="00F85564" w:rsidRPr="00497C68">
        <w:rPr>
          <w:rFonts w:ascii="Arial" w:eastAsia="Helvetica" w:hAnsi="Arial" w:cs="Arial"/>
          <w:color w:val="000000"/>
          <w:sz w:val="28"/>
          <w:szCs w:val="28"/>
        </w:rPr>
        <w:t>.</w:t>
      </w:r>
    </w:p>
    <w:p w14:paraId="15419980" w14:textId="77777777" w:rsidR="00B27D16" w:rsidRPr="00497C68" w:rsidRDefault="00B27D16" w:rsidP="003E7795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End"/>
    </w:p>
    <w:p w14:paraId="10AA8630" w14:textId="77777777" w:rsidR="00B27D16" w:rsidRPr="00497C68" w:rsidRDefault="00B27D16" w:rsidP="00F85564">
      <w:pPr>
        <w:pStyle w:val="Paragrafoelenco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497C68">
        <w:rPr>
          <w:rFonts w:ascii="Arial" w:hAnsi="Arial" w:cs="Arial"/>
          <w:b/>
          <w:sz w:val="28"/>
          <w:szCs w:val="28"/>
        </w:rPr>
        <w:t>«</w:t>
      </w:r>
      <w:proofErr w:type="gramEnd"/>
      <w:r w:rsidRPr="00497C68">
        <w:rPr>
          <w:rFonts w:ascii="Arial" w:hAnsi="Arial" w:cs="Arial"/>
          <w:b/>
          <w:sz w:val="28"/>
          <w:szCs w:val="28"/>
        </w:rPr>
        <w:t xml:space="preserve">Situazione ermeneutica» </w:t>
      </w:r>
      <w:r w:rsidR="00A229EF" w:rsidRPr="00497C68">
        <w:rPr>
          <w:rFonts w:ascii="Arial" w:hAnsi="Arial" w:cs="Arial"/>
          <w:b/>
          <w:sz w:val="28"/>
          <w:szCs w:val="28"/>
        </w:rPr>
        <w:t>(</w:t>
      </w:r>
      <w:r w:rsidRPr="00497C68">
        <w:rPr>
          <w:rFonts w:ascii="Arial" w:hAnsi="Arial" w:cs="Arial"/>
          <w:b/>
          <w:sz w:val="28"/>
          <w:szCs w:val="28"/>
        </w:rPr>
        <w:t>e diagnosi teologica</w:t>
      </w:r>
      <w:r w:rsidR="00A229EF" w:rsidRPr="00497C68">
        <w:rPr>
          <w:rFonts w:ascii="Arial" w:hAnsi="Arial" w:cs="Arial"/>
          <w:b/>
          <w:sz w:val="28"/>
          <w:szCs w:val="28"/>
        </w:rPr>
        <w:t>)</w:t>
      </w:r>
    </w:p>
    <w:p w14:paraId="78EAAC3C" w14:textId="77777777" w:rsidR="00A229EF" w:rsidRPr="00497C68" w:rsidRDefault="00A229EF" w:rsidP="003E7795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5DDE80F7" w14:textId="77777777" w:rsidR="00A229EF" w:rsidRPr="00497C68" w:rsidRDefault="00A229EF" w:rsidP="00A229EF">
      <w:pPr>
        <w:ind w:firstLine="567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Viviamo una mutazione culturale senza precedenti. Tuttavia, non è suff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ciente guardare la situazione per interpretarla e cercare di comprenderla. Il presente che viviamo è in se stesso una «situazione ermeneutica», il co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m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prendere dipende soprattu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t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to da un processo inserito nella storia degli effetti (o delle determinazioni) che provengono dal passato e costituiscono un «pr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sente spiegato» </w:t>
      </w:r>
      <w:r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(situazione ermeneutica)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il quale, per essere capito e rend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re possibile un futuro autenticamente umano, deve essere reinterpretato</w:t>
      </w:r>
      <w:proofErr w:type="gramStart"/>
      <w:r w:rsidR="00F85564" w:rsidRPr="00497C68">
        <w:rPr>
          <w:rStyle w:val="Rimandonotaapidipagina"/>
          <w:rFonts w:ascii="Arial" w:eastAsia="Helvetica" w:hAnsi="Arial" w:cs="Arial"/>
          <w:color w:val="000000"/>
          <w:sz w:val="28"/>
          <w:szCs w:val="28"/>
          <w:lang w:eastAsia="ar-SA"/>
        </w:rPr>
        <w:footnoteReference w:id="3"/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.</w:t>
      </w:r>
      <w:proofErr w:type="gramEnd"/>
    </w:p>
    <w:p w14:paraId="3C0677A5" w14:textId="77777777" w:rsidR="00B27D16" w:rsidRPr="00497C68" w:rsidRDefault="00A229EF" w:rsidP="003E779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Indubbiamente, il nostro è un tempo di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</w:rPr>
        <w:t>«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cambio epocale» e per niente facile di capire. La rivoluzione sociale e culturale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</w:rPr>
        <w:t>viene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 da lontano. Di cons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guenza, ci tr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o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viamo con un nuovo modello esplicativo generale: la modernità introduce un proce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s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so irreversibile le cui ancore sono fissate nell’autonomia della realtà mondana, nella radicalità storica dell’essere umano e in una r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a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zionalità antropocentrica che si distende liberamente e creativamente (con non poche sconfitte e problemi, ma anche con tante soluzioni e conquiste!). 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lastRenderedPageBreak/>
        <w:t xml:space="preserve">Infatti, l’evoluzione storica dell’umanità – in particolare negli ultimi tre secoli – e le profonde trasformazioni introdotte tanto dalle scienze empiriche come dalle moderne scienze dell’uomo, non solo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</w:rPr>
        <w:t>prospettano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 un universo simbolico diverso da quello che servì per formulare la fede e giustificare l’esperienza cristiana, ma soprattutto introducono un inedito paradigma o prototipo inte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r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pretativo per comprendere la vita umana, un’autentica rivoluzione dei modi di sentire, pensare, valorizzare e agire.</w:t>
      </w:r>
    </w:p>
    <w:p w14:paraId="5F28CEB4" w14:textId="77777777" w:rsidR="00E179F8" w:rsidRPr="00497C68" w:rsidRDefault="00A229EF" w:rsidP="00E179F8">
      <w:pPr>
        <w:ind w:firstLine="708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hAnsi="Arial" w:cs="Arial"/>
          <w:sz w:val="28"/>
          <w:szCs w:val="28"/>
        </w:rPr>
        <w:t xml:space="preserve">Infine, 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la migliore carta d'identità del momento presente è il </w:t>
      </w:r>
      <w:r w:rsidR="00E179F8"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pluralismo</w:t>
      </w:r>
      <w:r w:rsidR="00E179F8" w:rsidRPr="00497C68">
        <w:rPr>
          <w:rFonts w:ascii="Arial" w:eastAsia="Times New Roman" w:hAnsi="Arial" w:cs="Arial"/>
          <w:color w:val="000000"/>
          <w:sz w:val="28"/>
          <w:szCs w:val="28"/>
          <w:lang w:eastAsia="ar-SA"/>
        </w:rPr>
        <w:t>.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Tale realtà, in effetti, si presenta come l’autentico perno interpretativo in gr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a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do di decifrare la nostra situazione ermeneutica, costituisce cioè il supporto in cui convivono e persino gareggiano </w:t>
      </w:r>
      <w:proofErr w:type="gramStart"/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fra di</w:t>
      </w:r>
      <w:proofErr w:type="gramEnd"/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loro, con naturalezza, diverse visi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o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ni del mondo. Tale dispos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zione è il risultato normale che deriva dall’universo simbolico moderno: il pluralismo poggia su una visione antropologica che r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tiene l’uomo capace di autodeterminarsi </w:t>
      </w:r>
      <w:proofErr w:type="gramStart"/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a partire dalla</w:t>
      </w:r>
      <w:proofErr w:type="gramEnd"/>
      <w:r w:rsidR="00E179F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sua ragione e, oltre a rappresentare una questione centrale dello spirito umano, appare come un’esigenza radicata nella natura e nella storia.</w:t>
      </w:r>
    </w:p>
    <w:p w14:paraId="3B8EC075" w14:textId="77777777" w:rsidR="00E179F8" w:rsidRPr="00497C68" w:rsidRDefault="00E179F8" w:rsidP="00E179F8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Il pluralismo non è tanto il frutto dei capricci della modernità quanto il r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sultato della convergenza e divergenza di numerosi fattori particolari. Manif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sta, insomma, la ricchezza universale e, seppure renda più </w:t>
      </w:r>
      <w:r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complicato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l’orientamento vitale delle persone per il moltiplicarsi delle offerte e delle po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sibilità, non può essere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interpretato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riduttivamente come un segnale di conf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u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sione o debolezza. </w:t>
      </w:r>
      <w:r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Più che difficoltà, il pluralismo è possibilità</w:t>
      </w:r>
      <w:r w:rsidRPr="00497C68">
        <w:rPr>
          <w:rFonts w:ascii="Arial" w:eastAsia="Times New Roman" w:hAnsi="Arial" w:cs="Arial"/>
          <w:color w:val="000000"/>
          <w:sz w:val="28"/>
          <w:szCs w:val="28"/>
          <w:lang w:eastAsia="ar-SA"/>
        </w:rPr>
        <w:t>.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Tuttavia, po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sibilità non è uguale a gara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zia…</w:t>
      </w:r>
    </w:p>
    <w:p w14:paraId="6E7A2603" w14:textId="77777777" w:rsidR="00E179F8" w:rsidRPr="00497C68" w:rsidRDefault="00E179F8" w:rsidP="00E179F8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E’ necessario dunque inserire la riflessione catechetica in una giusta e serena valutazione della cultura pluralista in cui ci troviamo. Qui dobbiamo s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tuare l’inculturazione del messaggio cristiano: un processo reciproco di dare e ricevere, oppure di consegnare e di accogliere, dove il Vangelo si converte in una forma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di 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ispirazione creatrice per una determinata cultura e quest’ultima compie una funzione di criterio ermeneutico nel riguardo della fede. Vale a dire, il messaggio cristiano deve essere interpretato permane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temente: il suo significato non è stato fissato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una vo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l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ta per tutte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, ma continua a rivelarsi e realizzarsi attraverso vie inedite.</w:t>
      </w:r>
    </w:p>
    <w:p w14:paraId="5F11354D" w14:textId="77777777" w:rsidR="00E179F8" w:rsidRPr="00497C68" w:rsidRDefault="00E179F8" w:rsidP="00E179F8">
      <w:pPr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</w:p>
    <w:p w14:paraId="3236C0B0" w14:textId="77777777" w:rsidR="00E179F8" w:rsidRPr="00497C68" w:rsidRDefault="00E179F8" w:rsidP="00F85564">
      <w:pPr>
        <w:pStyle w:val="Paragrafoelenco"/>
        <w:numPr>
          <w:ilvl w:val="0"/>
          <w:numId w:val="1"/>
        </w:numPr>
        <w:ind w:left="993" w:hanging="284"/>
        <w:jc w:val="both"/>
        <w:rPr>
          <w:rFonts w:ascii="Arial" w:eastAsia="Helvetica" w:hAnsi="Arial" w:cs="Arial"/>
          <w:b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b/>
          <w:color w:val="000000"/>
          <w:sz w:val="28"/>
          <w:szCs w:val="28"/>
          <w:lang w:eastAsia="ar-SA"/>
        </w:rPr>
        <w:t xml:space="preserve">Chiesa in </w:t>
      </w:r>
      <w:proofErr w:type="gramStart"/>
      <w:r w:rsidRPr="00497C68">
        <w:rPr>
          <w:rFonts w:ascii="Arial" w:eastAsia="Helvetica" w:hAnsi="Arial" w:cs="Arial"/>
          <w:b/>
          <w:color w:val="000000"/>
          <w:sz w:val="28"/>
          <w:szCs w:val="28"/>
          <w:lang w:eastAsia="ar-SA"/>
        </w:rPr>
        <w:t>«</w:t>
      </w:r>
      <w:proofErr w:type="gramEnd"/>
      <w:r w:rsidRPr="00497C68">
        <w:rPr>
          <w:rFonts w:ascii="Arial" w:eastAsia="Helvetica" w:hAnsi="Arial" w:cs="Arial"/>
          <w:b/>
          <w:color w:val="000000"/>
          <w:sz w:val="28"/>
          <w:szCs w:val="28"/>
          <w:lang w:eastAsia="ar-SA"/>
        </w:rPr>
        <w:t>situazione di apprendimento» (e decentramento)</w:t>
      </w:r>
    </w:p>
    <w:p w14:paraId="798AE11F" w14:textId="77777777" w:rsidR="00E179F8" w:rsidRPr="00497C68" w:rsidRDefault="00E179F8" w:rsidP="00E179F8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</w:p>
    <w:p w14:paraId="5FEB6383" w14:textId="77777777" w:rsidR="00151A4A" w:rsidRPr="00497C68" w:rsidRDefault="00151A4A" w:rsidP="00151A4A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La capacità di apprendimento della Chiesa e della teologia</w:t>
      </w:r>
      <w:r w:rsidR="0076181F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, nella pr</w:t>
      </w:r>
      <w:r w:rsidR="0076181F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o</w:t>
      </w:r>
      <w:r w:rsidR="0076181F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spettiva indicata,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si compie </w:t>
      </w:r>
      <w:r w:rsidR="0076181F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oggi 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con non poche resistenze che bisogna sup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rare; come quella di riconoscere che l’atto di credere non è legato a una pa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r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ticolare visione del mondo, perché solo se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vengono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concepiti con apertura, non si avvertiranno come una mina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c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cia certi cambiamenti storici di visioni del mondo e la loro pluralizzazione.</w:t>
      </w:r>
    </w:p>
    <w:p w14:paraId="64557F2A" w14:textId="77777777" w:rsidR="00151A4A" w:rsidRPr="00497C68" w:rsidRDefault="00151A4A" w:rsidP="00151A4A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È fuor di dubbio, alla fin fine, che il nucleo normativo della fede deve essere interpretato di continuo in vista dell’intesa </w:t>
      </w:r>
      <w:r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 xml:space="preserve">(«noi crediamo») 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che co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m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porta ogni processo d’interpretazione: solo tale «agire comunicativo» perme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t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te l’accesso alla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«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c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sa» stessa della fede.</w:t>
      </w:r>
    </w:p>
    <w:p w14:paraId="3EFC61A6" w14:textId="77777777" w:rsidR="00151A4A" w:rsidRPr="00497C68" w:rsidRDefault="00151A4A" w:rsidP="00151A4A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In sintesi, la diagnosi teologica del tempo presuppone una capacità st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rica di apprendimento intimamente legata al nucleo normativo della fede cr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lastRenderedPageBreak/>
        <w:t>stiana che, da un lato, «invita a valutare in modo critico il programma inco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m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piuto della modernità» e, dall’altro – con un analogo sguardo critico –,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«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impl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ca la disponibilità a valutare in maniera nuova il tenore stesso della fede allo specchio della modernità».</w:t>
      </w:r>
      <w:r w:rsidRPr="00497C68">
        <w:rPr>
          <w:rFonts w:ascii="Arial" w:eastAsia="ヒラギノ角ゴ Pro W3" w:hAnsi="Arial" w:cs="Arial"/>
          <w:color w:val="000000"/>
          <w:sz w:val="28"/>
          <w:szCs w:val="28"/>
          <w:vertAlign w:val="superscript"/>
          <w:lang w:val="en-US" w:eastAsia="ar-SA"/>
        </w:rPr>
        <w:footnoteReference w:id="4"/>
      </w:r>
    </w:p>
    <w:p w14:paraId="733AECA7" w14:textId="77777777" w:rsidR="006D65EA" w:rsidRPr="00497C68" w:rsidRDefault="00151A4A" w:rsidP="00151A4A">
      <w:pPr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Assistiamo ormai a una moltiplicazione dei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«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modi di vita» che è prolif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razione di sensi e di stili di vita. In questo punto critico appare pure con forza la necessità di cercare una vita au</w:t>
      </w:r>
      <w:r w:rsidR="006D65EA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tentica o, </w:t>
      </w:r>
      <w:proofErr w:type="gramStart"/>
      <w:r w:rsidR="006D65EA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meglio</w:t>
      </w:r>
      <w:proofErr w:type="gramEnd"/>
      <w:r w:rsidR="006D65EA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, </w:t>
      </w:r>
      <w:r w:rsidR="00361308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di </w:t>
      </w:r>
      <w:r w:rsidR="006D65EA"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discernere la vita a</w:t>
      </w:r>
      <w:r w:rsidR="006D65EA"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u</w:t>
      </w:r>
      <w:r w:rsidR="006D65EA"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tentica.</w:t>
      </w:r>
    </w:p>
    <w:p w14:paraId="3695AA38" w14:textId="77777777" w:rsidR="00151A4A" w:rsidRPr="00497C68" w:rsidRDefault="00151A4A" w:rsidP="00151A4A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Il discernimento</w:t>
      </w:r>
      <w:r w:rsidR="006D65EA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– nel caso nostro –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, dunque, impegna</w:t>
      </w:r>
      <w:r w:rsidR="006D65EA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la catechetica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a lasciarsi istruire dall’esperienza effettiva della «formazione di una vita autent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ca»: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«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se la nostra maniera di fare teologia non può accontentarsi dell’esposizione della regola dogmatica, ma deve effettivamente entrare nella deliberazione umana e cristiana, se essa non può rimanere al livello di un d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scorso normativo ma deve raggiungere – in nome stesso dell’apertura di questo discorso – il carattere infinitamente concreto e mobile della vita um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na, allora essa non può non incontrare qui la razionalità delle scienze um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ne».</w:t>
      </w:r>
      <w:r w:rsidRPr="00497C68">
        <w:rPr>
          <w:rFonts w:ascii="Arial" w:eastAsia="ヒラギノ角ゴ Pro W3" w:hAnsi="Arial" w:cs="Arial"/>
          <w:color w:val="000000"/>
          <w:sz w:val="28"/>
          <w:szCs w:val="28"/>
          <w:vertAlign w:val="superscript"/>
          <w:lang w:val="en-US" w:eastAsia="ar-SA"/>
        </w:rPr>
        <w:footnoteReference w:id="5"/>
      </w:r>
    </w:p>
    <w:p w14:paraId="26B00162" w14:textId="77777777" w:rsidR="00E179F8" w:rsidRPr="00497C68" w:rsidRDefault="00E179F8" w:rsidP="00E179F8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</w:p>
    <w:p w14:paraId="4931DAAD" w14:textId="77777777" w:rsidR="00865EC3" w:rsidRPr="00497C68" w:rsidRDefault="00865EC3" w:rsidP="00F85564">
      <w:pPr>
        <w:pStyle w:val="Paragrafoelenco"/>
        <w:numPr>
          <w:ilvl w:val="0"/>
          <w:numId w:val="1"/>
        </w:numPr>
        <w:ind w:left="993" w:hanging="284"/>
        <w:jc w:val="both"/>
        <w:rPr>
          <w:rFonts w:ascii="Arial" w:eastAsia="Helvetica" w:hAnsi="Arial" w:cs="Arial"/>
          <w:b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b/>
          <w:color w:val="000000"/>
          <w:sz w:val="28"/>
          <w:szCs w:val="28"/>
          <w:lang w:eastAsia="ar-SA"/>
        </w:rPr>
        <w:t>E… il Concilio Vaticano II</w:t>
      </w:r>
    </w:p>
    <w:p w14:paraId="189F0308" w14:textId="77777777" w:rsidR="00865EC3" w:rsidRPr="00497C68" w:rsidRDefault="00865EC3" w:rsidP="00E179F8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</w:p>
    <w:p w14:paraId="2743F7C4" w14:textId="77777777" w:rsidR="00865EC3" w:rsidRPr="00497C68" w:rsidRDefault="00F64970" w:rsidP="00E179F8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</w:rPr>
      </w:pPr>
      <w:r w:rsidRPr="00497C68">
        <w:rPr>
          <w:rFonts w:ascii="Arial" w:eastAsia="Helvetica" w:hAnsi="Arial" w:cs="Arial"/>
          <w:color w:val="000000"/>
          <w:sz w:val="28"/>
          <w:szCs w:val="28"/>
        </w:rPr>
        <w:t>Un</w:t>
      </w:r>
      <w:r w:rsidR="00865EC3" w:rsidRPr="00497C68">
        <w:rPr>
          <w:rFonts w:ascii="Arial" w:eastAsia="Helvetica" w:hAnsi="Arial" w:cs="Arial"/>
          <w:color w:val="000000"/>
          <w:sz w:val="28"/>
          <w:szCs w:val="28"/>
        </w:rPr>
        <w:t xml:space="preserve"> punto di riferimento centrale per il discernimento è il Vaticano II.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 L’assemblea conciliare, già nel discorso inaugurale di Giovanni XXIII, assim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lò due cambiamenti radicali per ripensare la propria identità della fede: da un lato,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</w:rPr>
        <w:t>è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</w:rPr>
        <w:t xml:space="preserve"> l’uomo in quanto tale il punto prioritario di riferimento per la conosce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n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za e l’azione; d’altro lato, la verità previa che Dio ci offre la si trova sempre in una determinata prospettiva storica. Ciò favorì un clima di dialogo e di apert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u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ra all’uomo, alla cultura e al mondo moderno; inoltre, permise che si prende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s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se sul serio la radicale storicità di tutto ciò che è umano, a cominciare dal r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conoscere e rispettare il carattere storico della rivel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a</w:t>
      </w:r>
      <w:r w:rsidRPr="00497C68">
        <w:rPr>
          <w:rFonts w:ascii="Arial" w:eastAsia="Helvetica" w:hAnsi="Arial" w:cs="Arial"/>
          <w:color w:val="000000"/>
          <w:sz w:val="28"/>
          <w:szCs w:val="28"/>
        </w:rPr>
        <w:t>zione.</w:t>
      </w:r>
    </w:p>
    <w:p w14:paraId="7584D3F8" w14:textId="77777777" w:rsidR="00F64970" w:rsidRPr="00497C68" w:rsidRDefault="00F64970" w:rsidP="00F64970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Lo stile del «teologizzare» dell’assemblea conciliare pretendeva non una mera affermazione della verità «in sé», bensì il suo sviluppo, la sua esposizione e formulazione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«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per gli uomini» nella loro storia concreta; non elencare unicamente un cont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nuto dottrinale, bensì esprimere anche la forma odierna con cui, in base ai nostri rapporti con il resto degli esseri umani, do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b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biamo credere nel nostro tempo.</w:t>
      </w:r>
    </w:p>
    <w:p w14:paraId="03C4D306" w14:textId="77777777" w:rsidR="00F7102C" w:rsidRPr="00497C68" w:rsidRDefault="00F7102C" w:rsidP="00F7102C">
      <w:pPr>
        <w:ind w:firstLine="709"/>
        <w:jc w:val="both"/>
        <w:rPr>
          <w:rFonts w:ascii="Arial" w:eastAsia="Helvetica" w:hAnsi="Arial" w:cs="Arial"/>
          <w:i/>
          <w:color w:val="000000"/>
          <w:sz w:val="28"/>
          <w:szCs w:val="28"/>
          <w:lang w:eastAsia="ar-SA"/>
        </w:rPr>
      </w:pP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Il </w:t>
      </w:r>
      <w:r w:rsidRPr="00497C68">
        <w:rPr>
          <w:rFonts w:ascii="Arial" w:eastAsia="Helvetica" w:hAnsi="Arial" w:cs="Arial"/>
          <w:i/>
          <w:color w:val="000000"/>
          <w:sz w:val="28"/>
          <w:szCs w:val="28"/>
          <w:lang w:eastAsia="ar-SA"/>
        </w:rPr>
        <w:t>carattere pastorale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corrisponde alla </w:t>
      </w:r>
      <w:r w:rsidRPr="00497C68">
        <w:rPr>
          <w:rFonts w:ascii="Arial" w:eastAsia="Helvetica" w:hAnsi="Arial" w:cs="Arial"/>
          <w:i/>
          <w:color w:val="000000"/>
          <w:sz w:val="28"/>
          <w:szCs w:val="28"/>
          <w:lang w:eastAsia="ar-SA"/>
        </w:rPr>
        <w:t>realtà sacramentale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della Chiesa e, nel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sottolinearlo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, il Vaticano II si decantava e certificava «una nuova sens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bilità dogmatica»: attenta al concreto, alla pratica storica; in permanente 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t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teggiamento di dialogo con la vita e la cultura; preoccupata di cercare un li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guaggio adatto al nostro tempo. Pertanto, una nuova teologia: rivolta verso le fonti bibliche e le origini, ma anche più ecumenica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ed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aperta al mondo, sup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lastRenderedPageBreak/>
        <w:t xml:space="preserve">rando l’astrazione </w:t>
      </w:r>
      <w:r w:rsidRPr="00497C68">
        <w:rPr>
          <w:rFonts w:ascii="Arial" w:eastAsia="Times New Roman" w:hAnsi="Arial" w:cs="Arial"/>
          <w:i/>
          <w:color w:val="000000"/>
          <w:sz w:val="28"/>
          <w:szCs w:val="28"/>
          <w:lang w:eastAsia="ar-SA"/>
        </w:rPr>
        <w:t>concettualistica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preconciliare che considerava isolatame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n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te ogni dato, più o meno svincolato dal resto, per ubicare il tutto dentro il pi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no salvifico di Dio. Una teologia tutta quanta </w:t>
      </w:r>
      <w:r w:rsidRPr="00497C68">
        <w:rPr>
          <w:rFonts w:ascii="Arial" w:eastAsia="Helvetica" w:hAnsi="Arial" w:cs="Arial"/>
          <w:i/>
          <w:color w:val="000000"/>
          <w:sz w:val="28"/>
          <w:szCs w:val="28"/>
          <w:lang w:eastAsia="ar-SA"/>
        </w:rPr>
        <w:t>pratica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che pur radicandosi irr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nunciabilmente nella fede, tuttavia si lascia accompagnare dalla critica e dove </w:t>
      </w:r>
      <w:proofErr w:type="gramStart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risulta</w:t>
      </w:r>
      <w:proofErr w:type="gramEnd"/>
      <w:r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normale pensare la dottrina nel contesto della</w:t>
      </w:r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congiuntura attuale. E ancor di più: le prospettive aperte dal Concilio ci pongono davanti ad una «catechesi a</w:t>
      </w:r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f</w:t>
      </w:r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fermativa», cioè, una catech</w:t>
      </w:r>
      <w:bookmarkStart w:id="0" w:name="_GoBack"/>
      <w:bookmarkEnd w:id="0"/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esi che pensa tutto </w:t>
      </w:r>
      <w:proofErr w:type="gramStart"/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a partire dalla</w:t>
      </w:r>
      <w:proofErr w:type="gramEnd"/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 convinzione radicale che quanto viene da Dio può essere interpretato legitt</w:t>
      </w:r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>i</w:t>
      </w:r>
      <w:r w:rsidR="00054C40" w:rsidRPr="00497C68">
        <w:rPr>
          <w:rFonts w:ascii="Arial" w:eastAsia="Helvetica" w:hAnsi="Arial" w:cs="Arial"/>
          <w:color w:val="000000"/>
          <w:sz w:val="28"/>
          <w:szCs w:val="28"/>
          <w:lang w:eastAsia="ar-SA"/>
        </w:rPr>
        <w:t xml:space="preserve">mamente solo se e nella misura in cui riesce ad avere un </w:t>
      </w:r>
      <w:r w:rsidR="00054C40" w:rsidRPr="00497C68">
        <w:rPr>
          <w:rFonts w:ascii="Arial" w:eastAsia="Helvetica" w:hAnsi="Arial" w:cs="Arial"/>
          <w:i/>
          <w:color w:val="000000"/>
          <w:sz w:val="28"/>
          <w:szCs w:val="28"/>
          <w:lang w:eastAsia="ar-SA"/>
        </w:rPr>
        <w:t>senso positivo e l</w:t>
      </w:r>
      <w:r w:rsidR="00054C40" w:rsidRPr="00497C68">
        <w:rPr>
          <w:rFonts w:ascii="Arial" w:eastAsia="Helvetica" w:hAnsi="Arial" w:cs="Arial"/>
          <w:i/>
          <w:color w:val="000000"/>
          <w:sz w:val="28"/>
          <w:szCs w:val="28"/>
          <w:lang w:eastAsia="ar-SA"/>
        </w:rPr>
        <w:t>i</w:t>
      </w:r>
      <w:r w:rsidR="00054C40" w:rsidRPr="00497C68">
        <w:rPr>
          <w:rFonts w:ascii="Arial" w:eastAsia="Helvetica" w:hAnsi="Arial" w:cs="Arial"/>
          <w:i/>
          <w:color w:val="000000"/>
          <w:sz w:val="28"/>
          <w:szCs w:val="28"/>
          <w:lang w:eastAsia="ar-SA"/>
        </w:rPr>
        <w:t>berante per ogni uomo.</w:t>
      </w:r>
    </w:p>
    <w:p w14:paraId="30E03F75" w14:textId="77777777" w:rsidR="00F7102C" w:rsidRPr="00497C68" w:rsidRDefault="00F7102C" w:rsidP="00F64970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</w:p>
    <w:p w14:paraId="25EF40C6" w14:textId="77777777" w:rsidR="00F64970" w:rsidRPr="00497C68" w:rsidRDefault="00F64970" w:rsidP="00E179F8">
      <w:pPr>
        <w:ind w:firstLine="709"/>
        <w:jc w:val="both"/>
        <w:rPr>
          <w:rFonts w:ascii="Arial" w:eastAsia="Helvetica" w:hAnsi="Arial" w:cs="Arial"/>
          <w:color w:val="000000"/>
          <w:sz w:val="28"/>
          <w:szCs w:val="28"/>
          <w:lang w:eastAsia="ar-SA"/>
        </w:rPr>
      </w:pPr>
    </w:p>
    <w:sectPr w:rsidR="00F64970" w:rsidRPr="00497C68" w:rsidSect="00F649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B60D" w14:textId="77777777" w:rsidR="000E1998" w:rsidRDefault="000E1998" w:rsidP="00A229EF">
      <w:r>
        <w:separator/>
      </w:r>
    </w:p>
  </w:endnote>
  <w:endnote w:type="continuationSeparator" w:id="0">
    <w:p w14:paraId="33AF08C3" w14:textId="77777777" w:rsidR="000E1998" w:rsidRDefault="000E1998" w:rsidP="00A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BA87" w14:textId="77777777" w:rsidR="000E1998" w:rsidRDefault="000E1998" w:rsidP="00A229EF">
      <w:r>
        <w:separator/>
      </w:r>
    </w:p>
  </w:footnote>
  <w:footnote w:type="continuationSeparator" w:id="0">
    <w:p w14:paraId="005F39F4" w14:textId="77777777" w:rsidR="000E1998" w:rsidRDefault="000E1998" w:rsidP="00A229EF">
      <w:r>
        <w:continuationSeparator/>
      </w:r>
    </w:p>
  </w:footnote>
  <w:footnote w:id="1">
    <w:p w14:paraId="3E9FA5C3" w14:textId="77777777" w:rsidR="001B3657" w:rsidRPr="001B3657" w:rsidRDefault="001B3657" w:rsidP="001B3657">
      <w:pPr>
        <w:pStyle w:val="Testonotaapidipagina"/>
        <w:ind w:firstLine="708"/>
        <w:jc w:val="both"/>
        <w:rPr>
          <w:rFonts w:ascii="Times New Roman" w:hAnsi="Times New Roman" w:cs="Times New Roman"/>
        </w:rPr>
      </w:pPr>
      <w:r w:rsidRPr="001B3657">
        <w:rPr>
          <w:rStyle w:val="Rimandonotaapidipagina"/>
          <w:rFonts w:ascii="Times New Roman" w:hAnsi="Times New Roman" w:cs="Times New Roman"/>
        </w:rPr>
        <w:footnoteRef/>
      </w:r>
      <w:r w:rsidRPr="001B3657">
        <w:rPr>
          <w:rFonts w:ascii="Times New Roman" w:hAnsi="Times New Roman" w:cs="Times New Roman"/>
        </w:rPr>
        <w:t xml:space="preserve"> </w:t>
      </w:r>
      <w:r w:rsidRPr="00F756D0">
        <w:rPr>
          <w:rFonts w:ascii="Times New Roman" w:hAnsi="Times New Roman" w:cs="Times New Roman"/>
        </w:rPr>
        <w:t xml:space="preserve">Il testo di L. </w:t>
      </w:r>
      <w:proofErr w:type="spellStart"/>
      <w:r w:rsidRPr="00F756D0">
        <w:rPr>
          <w:rFonts w:ascii="Times New Roman" w:hAnsi="Times New Roman" w:cs="Times New Roman"/>
        </w:rPr>
        <w:t>Bressan</w:t>
      </w:r>
      <w:proofErr w:type="spellEnd"/>
      <w:r w:rsidRPr="00F756D0">
        <w:rPr>
          <w:rFonts w:ascii="Times New Roman" w:hAnsi="Times New Roman" w:cs="Times New Roman"/>
        </w:rPr>
        <w:t xml:space="preserve"> </w:t>
      </w:r>
      <w:r w:rsidRPr="00F756D0">
        <w:rPr>
          <w:rFonts w:ascii="Times New Roman" w:hAnsi="Times New Roman" w:cs="Times New Roman"/>
          <w:i/>
        </w:rPr>
        <w:t xml:space="preserve">(La catechesi in Italia nell’orizzonte della nuova evangelizzazione) </w:t>
      </w:r>
      <w:r w:rsidRPr="00F756D0">
        <w:rPr>
          <w:rFonts w:ascii="Times New Roman" w:hAnsi="Times New Roman" w:cs="Times New Roman"/>
        </w:rPr>
        <w:t xml:space="preserve">offre una particolare visione della situazione dove: 1/ L’orizzonte culturale </w:t>
      </w:r>
      <w:proofErr w:type="gramStart"/>
      <w:r w:rsidRPr="00F756D0">
        <w:rPr>
          <w:rFonts w:ascii="Times New Roman" w:hAnsi="Times New Roman" w:cs="Times New Roman"/>
        </w:rPr>
        <w:t>viene</w:t>
      </w:r>
      <w:proofErr w:type="gramEnd"/>
      <w:r w:rsidRPr="00F756D0">
        <w:rPr>
          <w:rFonts w:ascii="Times New Roman" w:hAnsi="Times New Roman" w:cs="Times New Roman"/>
        </w:rPr>
        <w:t xml:space="preserve"> demarcato attraverso i processi di </w:t>
      </w:r>
      <w:proofErr w:type="spellStart"/>
      <w:r w:rsidRPr="00F756D0">
        <w:rPr>
          <w:rFonts w:ascii="Times New Roman" w:hAnsi="Times New Roman" w:cs="Times New Roman"/>
        </w:rPr>
        <w:t>detradizianalizzazione</w:t>
      </w:r>
      <w:proofErr w:type="spellEnd"/>
      <w:r w:rsidRPr="00F756D0">
        <w:rPr>
          <w:rFonts w:ascii="Times New Roman" w:hAnsi="Times New Roman" w:cs="Times New Roman"/>
        </w:rPr>
        <w:t xml:space="preserve"> e di deistituzionalizzazione; 2/ La direzione dell’azione ecclesiale si specifica nel primato della fede (adulta), la centralità della comunità e della testimonianza; 3/ La «nuova evangelizzazione» viene intesa non come «un nuovo modello di azione pastorale…, quanto piuttosto di un forte strumento di interrogazione e di integrazione di quelle azioni».</w:t>
      </w:r>
    </w:p>
  </w:footnote>
  <w:footnote w:id="2">
    <w:p w14:paraId="0DA6F333" w14:textId="77777777" w:rsidR="00F85564" w:rsidRPr="00F85564" w:rsidRDefault="00F85564" w:rsidP="00F85564">
      <w:pPr>
        <w:pStyle w:val="Testonotaapidipagina"/>
        <w:ind w:firstLine="708"/>
        <w:jc w:val="both"/>
        <w:rPr>
          <w:rFonts w:ascii="Times New Roman" w:hAnsi="Times New Roman" w:cs="Times New Roman"/>
          <w:lang w:val="fr-FR"/>
        </w:rPr>
      </w:pPr>
      <w:r w:rsidRPr="00F85564">
        <w:rPr>
          <w:rStyle w:val="Rimandonotaapidipagina"/>
          <w:rFonts w:ascii="Times New Roman" w:hAnsi="Times New Roman" w:cs="Times New Roman"/>
        </w:rPr>
        <w:footnoteRef/>
      </w:r>
      <w:r w:rsidRPr="00F85564">
        <w:rPr>
          <w:rFonts w:ascii="Times New Roman" w:hAnsi="Times New Roman" w:cs="Times New Roman"/>
          <w:lang w:val="fr-FR"/>
        </w:rPr>
        <w:t xml:space="preserve"> Cf. E. </w:t>
      </w:r>
      <w:r w:rsidRPr="00F85564">
        <w:rPr>
          <w:rFonts w:ascii="Times New Roman" w:hAnsi="Times New Roman" w:cs="Times New Roman"/>
          <w:smallCaps/>
          <w:lang w:val="fr-FR"/>
        </w:rPr>
        <w:t>Bacq-Ch. Theobald</w:t>
      </w:r>
      <w:r w:rsidRPr="00F85564">
        <w:rPr>
          <w:rFonts w:ascii="Times New Roman" w:hAnsi="Times New Roman" w:cs="Times New Roman"/>
          <w:lang w:val="fr-FR"/>
        </w:rPr>
        <w:t xml:space="preserve"> (Dir.), </w:t>
      </w:r>
      <w:r w:rsidRPr="00F85564">
        <w:rPr>
          <w:rFonts w:ascii="Times New Roman" w:hAnsi="Times New Roman" w:cs="Times New Roman"/>
          <w:i/>
          <w:lang w:val="fr-FR"/>
        </w:rPr>
        <w:t xml:space="preserve">Une nouvelle chance pour l’Évangile. Vers une pastorale d’engendrement, </w:t>
      </w:r>
      <w:r w:rsidRPr="00F85564">
        <w:rPr>
          <w:rFonts w:ascii="Times New Roman" w:hAnsi="Times New Roman" w:cs="Times New Roman"/>
          <w:lang w:val="fr-FR"/>
        </w:rPr>
        <w:t xml:space="preserve">Lumen Vitae, Bruxelles 2004; </w:t>
      </w:r>
      <w:r w:rsidRPr="00F85564">
        <w:rPr>
          <w:rFonts w:ascii="Times New Roman" w:hAnsi="Times New Roman" w:cs="Times New Roman"/>
          <w:smallCaps/>
          <w:lang w:val="fr-FR"/>
        </w:rPr>
        <w:t>Id</w:t>
      </w:r>
      <w:r w:rsidRPr="00F85564">
        <w:rPr>
          <w:rFonts w:ascii="Times New Roman" w:hAnsi="Times New Roman" w:cs="Times New Roman"/>
          <w:lang w:val="fr-FR"/>
        </w:rPr>
        <w:t xml:space="preserve">., </w:t>
      </w:r>
      <w:r w:rsidRPr="00F85564">
        <w:rPr>
          <w:rFonts w:ascii="Times New Roman" w:hAnsi="Times New Roman" w:cs="Times New Roman"/>
          <w:i/>
          <w:lang w:val="fr-FR"/>
        </w:rPr>
        <w:t>Passeur d’Évangiles. Autour d’une pastorale d’engendrement,</w:t>
      </w:r>
      <w:r w:rsidRPr="00F85564">
        <w:rPr>
          <w:rFonts w:ascii="Times New Roman" w:hAnsi="Times New Roman" w:cs="Times New Roman"/>
          <w:lang w:val="fr-FR"/>
        </w:rPr>
        <w:t xml:space="preserve"> Lumen Vitae, Bruxelles 2008.</w:t>
      </w:r>
    </w:p>
  </w:footnote>
  <w:footnote w:id="3">
    <w:p w14:paraId="58CC9855" w14:textId="77777777" w:rsidR="00F85564" w:rsidRPr="00F85564" w:rsidRDefault="00F85564" w:rsidP="00F85564">
      <w:pPr>
        <w:pStyle w:val="Testonotaapidipagina"/>
        <w:ind w:firstLine="708"/>
        <w:jc w:val="both"/>
        <w:rPr>
          <w:rFonts w:ascii="Times New Roman" w:hAnsi="Times New Roman" w:cs="Times New Roman"/>
        </w:rPr>
      </w:pPr>
      <w:r w:rsidRPr="00F85564">
        <w:rPr>
          <w:rStyle w:val="Rimandonotaapidipagina"/>
          <w:rFonts w:ascii="Times New Roman" w:hAnsi="Times New Roman" w:cs="Times New Roman"/>
        </w:rPr>
        <w:footnoteRef/>
      </w:r>
      <w:r w:rsidRPr="00F85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questo motivo afferma Gadamer che “chi non ha un orizzonte è un uomo che non vede abbastanza lont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no e perciò sopravvaluta ciò che gli sta più vicino. </w:t>
      </w:r>
      <w:proofErr w:type="gramStart"/>
      <w:r>
        <w:rPr>
          <w:rFonts w:ascii="Times New Roman" w:hAnsi="Times New Roman" w:cs="Times New Roman"/>
        </w:rPr>
        <w:t>[…</w:t>
      </w:r>
      <w:proofErr w:type="gramEnd"/>
      <w:r>
        <w:rPr>
          <w:rFonts w:ascii="Times New Roman" w:hAnsi="Times New Roman" w:cs="Times New Roman"/>
        </w:rPr>
        <w:t xml:space="preserve">] Il compito della comprensione storica porta con sé l’esigenza di appropriarsi, in ogni singolo caso, dell’orizzonte storico in base a cui ciò che si deve comprendere si presenta nelle sue vere dimensioni. Chi non si preoccupa di collocarsi nell’orizzonte storico </w:t>
      </w:r>
      <w:proofErr w:type="gramStart"/>
      <w:r>
        <w:rPr>
          <w:rFonts w:ascii="Times New Roman" w:hAnsi="Times New Roman" w:cs="Times New Roman"/>
        </w:rPr>
        <w:t>a cui</w:t>
      </w:r>
      <w:proofErr w:type="gramEnd"/>
      <w:r>
        <w:rPr>
          <w:rFonts w:ascii="Times New Roman" w:hAnsi="Times New Roman" w:cs="Times New Roman"/>
        </w:rPr>
        <w:t xml:space="preserve"> il dato appartiene e dal quale ci parla non può capire il significato di tale dato” (</w:t>
      </w:r>
      <w:r>
        <w:rPr>
          <w:rFonts w:ascii="Times New Roman" w:hAnsi="Times New Roman" w:cs="Times New Roman"/>
          <w:smallCaps/>
        </w:rPr>
        <w:t xml:space="preserve">H.-G. Gadamer, </w:t>
      </w:r>
      <w:r>
        <w:rPr>
          <w:rFonts w:ascii="Times New Roman" w:hAnsi="Times New Roman" w:cs="Times New Roman"/>
          <w:i/>
        </w:rPr>
        <w:t xml:space="preserve">Verità e metodo, </w:t>
      </w:r>
      <w:r>
        <w:rPr>
          <w:rFonts w:ascii="Times New Roman" w:hAnsi="Times New Roman" w:cs="Times New Roman"/>
        </w:rPr>
        <w:t>Fabbri Ed., Milano 1972, 353).</w:t>
      </w:r>
    </w:p>
  </w:footnote>
  <w:footnote w:id="4">
    <w:p w14:paraId="3BFCE68C" w14:textId="77777777" w:rsidR="00151A4A" w:rsidRPr="00F85564" w:rsidRDefault="00151A4A" w:rsidP="00151A4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5564">
        <w:rPr>
          <w:rStyle w:val="Caratteredellanota"/>
          <w:rFonts w:ascii="Times New Roman" w:hAnsi="Times New Roman" w:cs="Times New Roman"/>
          <w:sz w:val="20"/>
          <w:szCs w:val="20"/>
        </w:rPr>
        <w:footnoteRef/>
      </w:r>
      <w:r w:rsidRPr="00F85564">
        <w:rPr>
          <w:rFonts w:ascii="Times New Roman" w:hAnsi="Times New Roman" w:cs="Times New Roman"/>
          <w:color w:val="000000"/>
          <w:sz w:val="20"/>
          <w:szCs w:val="20"/>
        </w:rPr>
        <w:t xml:space="preserve"> Cf. </w:t>
      </w:r>
      <w:proofErr w:type="gramStart"/>
      <w:r w:rsidRPr="00F85564">
        <w:rPr>
          <w:rFonts w:ascii="Times New Roman" w:hAnsi="Times New Roman" w:cs="Times New Roman"/>
          <w:smallCaps/>
          <w:sz w:val="20"/>
          <w:szCs w:val="20"/>
        </w:rPr>
        <w:t>Ch.</w:t>
      </w:r>
      <w:proofErr w:type="gramEnd"/>
      <w:r w:rsidRPr="00F85564">
        <w:rPr>
          <w:rFonts w:ascii="Times New Roman" w:hAnsi="Times New Roman" w:cs="Times New Roman"/>
          <w:smallCaps/>
          <w:sz w:val="20"/>
          <w:szCs w:val="20"/>
        </w:rPr>
        <w:t xml:space="preserve"> Theobald, </w:t>
      </w:r>
      <w:r w:rsidRPr="00F85564">
        <w:rPr>
          <w:rFonts w:ascii="Times New Roman" w:hAnsi="Times New Roman" w:cs="Times New Roman"/>
          <w:i/>
          <w:sz w:val="20"/>
          <w:szCs w:val="20"/>
        </w:rPr>
        <w:t xml:space="preserve">Il cristianesimo come stile. </w:t>
      </w:r>
      <w:proofErr w:type="gramStart"/>
      <w:r w:rsidRPr="00F85564">
        <w:rPr>
          <w:rFonts w:ascii="Times New Roman" w:hAnsi="Times New Roman" w:cs="Times New Roman"/>
          <w:i/>
          <w:sz w:val="20"/>
          <w:szCs w:val="20"/>
        </w:rPr>
        <w:t xml:space="preserve">Un modo di fare teologia nella postmodernità </w:t>
      </w:r>
      <w:r w:rsidRPr="00F85564">
        <w:rPr>
          <w:rFonts w:ascii="Times New Roman" w:hAnsi="Times New Roman" w:cs="Times New Roman"/>
          <w:sz w:val="20"/>
          <w:szCs w:val="20"/>
        </w:rPr>
        <w:t xml:space="preserve">(2 vol.), </w:t>
      </w:r>
      <w:proofErr w:type="spellStart"/>
      <w:r w:rsidRPr="00F85564">
        <w:rPr>
          <w:rFonts w:ascii="Times New Roman" w:hAnsi="Times New Roman" w:cs="Times New Roman"/>
          <w:smallCaps/>
          <w:sz w:val="20"/>
          <w:szCs w:val="20"/>
        </w:rPr>
        <w:t>Edb</w:t>
      </w:r>
      <w:proofErr w:type="spellEnd"/>
      <w:r w:rsidRPr="00F85564">
        <w:rPr>
          <w:rFonts w:ascii="Times New Roman" w:hAnsi="Times New Roman" w:cs="Times New Roman"/>
          <w:smallCaps/>
          <w:sz w:val="20"/>
          <w:szCs w:val="20"/>
        </w:rPr>
        <w:t xml:space="preserve">, </w:t>
      </w:r>
      <w:r w:rsidRPr="00F85564">
        <w:rPr>
          <w:rFonts w:ascii="Times New Roman" w:hAnsi="Times New Roman" w:cs="Times New Roman"/>
          <w:sz w:val="20"/>
          <w:szCs w:val="20"/>
        </w:rPr>
        <w:t>Bologna 2009.</w:t>
      </w:r>
      <w:proofErr w:type="gramEnd"/>
    </w:p>
  </w:footnote>
  <w:footnote w:id="5">
    <w:p w14:paraId="70255163" w14:textId="77777777" w:rsidR="00151A4A" w:rsidRPr="00F85564" w:rsidRDefault="00151A4A" w:rsidP="00151A4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5564">
        <w:rPr>
          <w:rStyle w:val="Caratteredellanota"/>
          <w:rFonts w:ascii="Times New Roman" w:hAnsi="Times New Roman" w:cs="Times New Roman"/>
          <w:sz w:val="20"/>
          <w:szCs w:val="20"/>
        </w:rPr>
        <w:footnoteRef/>
      </w:r>
      <w:r w:rsidRPr="00F855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85564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>Ch. Theobald</w:t>
      </w:r>
      <w:r w:rsidRPr="00F855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="006D65EA" w:rsidRPr="00F855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op. cit. (vol. </w:t>
      </w:r>
      <w:proofErr w:type="gramStart"/>
      <w:r w:rsidRPr="00F85564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6D65EA" w:rsidRPr="00F85564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F85564">
        <w:rPr>
          <w:rFonts w:ascii="Times New Roman" w:hAnsi="Times New Roman" w:cs="Times New Roman"/>
          <w:color w:val="000000"/>
          <w:sz w:val="20"/>
          <w:szCs w:val="20"/>
          <w:lang w:val="en-US"/>
        </w:rPr>
        <w:t>, 374.</w:t>
      </w:r>
      <w:proofErr w:type="gramEnd"/>
      <w:r w:rsidRPr="00F855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85564">
        <w:rPr>
          <w:rFonts w:ascii="Times New Roman" w:hAnsi="Times New Roman" w:cs="Times New Roman"/>
          <w:color w:val="000000"/>
          <w:sz w:val="20"/>
          <w:szCs w:val="20"/>
        </w:rPr>
        <w:t xml:space="preserve">Comunque, «la funzione strutturante della Scrittura e dell’itinerario di Gesù e dei suoi apostoli, che incrocia le strade degli uomini, l’importanza primordiale del discernimento pratico </w:t>
      </w:r>
      <w:proofErr w:type="gramStart"/>
      <w:r w:rsidRPr="00F85564">
        <w:rPr>
          <w:rFonts w:ascii="Times New Roman" w:hAnsi="Times New Roman" w:cs="Times New Roman"/>
          <w:color w:val="000000"/>
          <w:sz w:val="20"/>
          <w:szCs w:val="20"/>
        </w:rPr>
        <w:t>allo</w:t>
      </w:r>
      <w:r w:rsidRPr="00F85564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F85564">
        <w:rPr>
          <w:rFonts w:ascii="Times New Roman" w:hAnsi="Times New Roman" w:cs="Times New Roman"/>
          <w:color w:val="000000"/>
          <w:sz w:val="20"/>
          <w:szCs w:val="20"/>
        </w:rPr>
        <w:t>ché</w:t>
      </w:r>
      <w:proofErr w:type="gramEnd"/>
      <w:r w:rsidRPr="00F85564">
        <w:rPr>
          <w:rFonts w:ascii="Times New Roman" w:hAnsi="Times New Roman" w:cs="Times New Roman"/>
          <w:color w:val="000000"/>
          <w:sz w:val="20"/>
          <w:szCs w:val="20"/>
        </w:rPr>
        <w:t xml:space="preserve"> la normativa dogmatica è messa a confronto con il carattere unico degli itinerari umani, la sensibilità insostituibile per la genesi delle vite e per la creatività, che si manifesta nella formazione di una vita autentica [...] </w:t>
      </w:r>
      <w:proofErr w:type="gramStart"/>
      <w:r w:rsidRPr="00F85564">
        <w:rPr>
          <w:rFonts w:ascii="Times New Roman" w:hAnsi="Times New Roman" w:cs="Times New Roman"/>
          <w:color w:val="000000"/>
          <w:sz w:val="20"/>
          <w:szCs w:val="20"/>
        </w:rPr>
        <w:t>[Tutto</w:t>
      </w:r>
      <w:proofErr w:type="gramEnd"/>
      <w:r w:rsidRPr="00F85564">
        <w:rPr>
          <w:rFonts w:ascii="Times New Roman" w:hAnsi="Times New Roman" w:cs="Times New Roman"/>
          <w:color w:val="000000"/>
          <w:sz w:val="20"/>
          <w:szCs w:val="20"/>
        </w:rPr>
        <w:t xml:space="preserve"> ci porta alla] questione della credibilità e del futuro del cristianesimo [e] ci rinvia alla teologia fondamentale»</w:t>
      </w:r>
      <w:r w:rsidR="006D65EA" w:rsidRPr="00F85564">
        <w:rPr>
          <w:rFonts w:ascii="Times New Roman" w:hAnsi="Times New Roman" w:cs="Times New Roman"/>
          <w:color w:val="000000"/>
          <w:sz w:val="20"/>
          <w:szCs w:val="20"/>
        </w:rPr>
        <w:t xml:space="preserve"> (p. </w:t>
      </w:r>
      <w:r w:rsidRPr="00F85564">
        <w:rPr>
          <w:rFonts w:ascii="Times New Roman" w:hAnsi="Times New Roman" w:cs="Times New Roman"/>
          <w:color w:val="000000"/>
          <w:sz w:val="20"/>
          <w:szCs w:val="20"/>
        </w:rPr>
        <w:t>377).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6D2"/>
    <w:multiLevelType w:val="hybridMultilevel"/>
    <w:tmpl w:val="95EE352E"/>
    <w:lvl w:ilvl="0" w:tplc="A9245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90"/>
    <w:rsid w:val="00054C40"/>
    <w:rsid w:val="000E1998"/>
    <w:rsid w:val="00151A4A"/>
    <w:rsid w:val="001B3657"/>
    <w:rsid w:val="00361308"/>
    <w:rsid w:val="003E7795"/>
    <w:rsid w:val="00497C68"/>
    <w:rsid w:val="006D65EA"/>
    <w:rsid w:val="0076181F"/>
    <w:rsid w:val="00862F4D"/>
    <w:rsid w:val="00865EC3"/>
    <w:rsid w:val="008B5D98"/>
    <w:rsid w:val="008B7FD0"/>
    <w:rsid w:val="00924C90"/>
    <w:rsid w:val="00964509"/>
    <w:rsid w:val="00A229EF"/>
    <w:rsid w:val="00AA381D"/>
    <w:rsid w:val="00B27D16"/>
    <w:rsid w:val="00B76F0B"/>
    <w:rsid w:val="00D85B53"/>
    <w:rsid w:val="00E179F8"/>
    <w:rsid w:val="00F64970"/>
    <w:rsid w:val="00F7102C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7FB3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A229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29EF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229E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A229E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8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A229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29EF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229E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A229E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8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1336</Words>
  <Characters>7619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J.L. Moral</dc:creator>
  <cp:lastModifiedBy>JOSE LUIS MORAL</cp:lastModifiedBy>
  <cp:revision>7</cp:revision>
  <dcterms:created xsi:type="dcterms:W3CDTF">2012-06-11T15:32:00Z</dcterms:created>
  <dcterms:modified xsi:type="dcterms:W3CDTF">2013-04-10T14:58:00Z</dcterms:modified>
</cp:coreProperties>
</file>