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CC" w:rsidRPr="00060B03" w:rsidRDefault="007944CC" w:rsidP="007944CC">
      <w:pPr>
        <w:pStyle w:val="Titolo1"/>
        <w:rPr>
          <w:smallCaps w:val="0"/>
          <w:lang w:val="it-IT"/>
        </w:rPr>
      </w:pPr>
      <w:bookmarkStart w:id="0" w:name="_GoBack"/>
      <w:r w:rsidRPr="00060B03">
        <w:rPr>
          <w:smallCaps w:val="0"/>
          <w:lang w:val="it-IT"/>
        </w:rPr>
        <w:t xml:space="preserve">2ª Parte: La riflessione </w:t>
      </w:r>
      <w:r>
        <w:rPr>
          <w:smallCaps w:val="0"/>
          <w:lang w:val="it-IT"/>
        </w:rPr>
        <w:t>teolo</w:t>
      </w:r>
      <w:r w:rsidRPr="00060B03">
        <w:rPr>
          <w:smallCaps w:val="0"/>
          <w:lang w:val="it-IT"/>
        </w:rPr>
        <w:t xml:space="preserve">gica attuale sul primo </w:t>
      </w:r>
      <w:proofErr w:type="gramStart"/>
      <w:r w:rsidRPr="00060B03">
        <w:rPr>
          <w:smallCaps w:val="0"/>
          <w:lang w:val="it-IT"/>
        </w:rPr>
        <w:t>annun</w:t>
      </w:r>
      <w:r>
        <w:rPr>
          <w:smallCaps w:val="0"/>
          <w:lang w:val="it-IT"/>
        </w:rPr>
        <w:t>cio</w:t>
      </w:r>
      <w:proofErr w:type="gramEnd"/>
    </w:p>
    <w:bookmarkEnd w:id="0"/>
    <w:p w:rsidR="007944CC" w:rsidRPr="00060B03" w:rsidRDefault="007944CC" w:rsidP="007944CC">
      <w:pPr>
        <w:pStyle w:val="Titolo2"/>
        <w:numPr>
          <w:ilvl w:val="0"/>
          <w:numId w:val="8"/>
        </w:numPr>
        <w:rPr>
          <w:lang w:val="it-IT"/>
        </w:rPr>
      </w:pPr>
      <w:r w:rsidRPr="00060B03">
        <w:rPr>
          <w:lang w:val="it-IT"/>
        </w:rPr>
        <w:t xml:space="preserve">La teologia della Parola e il kerigma riscoperti nel secolo </w:t>
      </w:r>
      <w:proofErr w:type="gramStart"/>
      <w:r w:rsidRPr="00060B03">
        <w:rPr>
          <w:lang w:val="it-IT"/>
        </w:rPr>
        <w:t>XX.</w:t>
      </w:r>
      <w:proofErr w:type="gramEnd"/>
      <w:r>
        <w:rPr>
          <w:lang w:val="it-IT"/>
        </w:rPr>
        <w:t xml:space="preserve"> </w:t>
      </w:r>
    </w:p>
    <w:p w:rsidR="007944CC" w:rsidRPr="00060B03" w:rsidRDefault="007944CC" w:rsidP="007944CC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7944CC" w:rsidRPr="00060B03" w:rsidRDefault="007944CC" w:rsidP="007944CC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>6.1. L’emergenza del kerigma nel com</w:t>
      </w:r>
      <w:r>
        <w:rPr>
          <w:rFonts w:ascii="Times New Roman" w:hAnsi="Times New Roman" w:cs="Times New Roman"/>
          <w:sz w:val="24"/>
          <w:szCs w:val="24"/>
          <w:lang w:val="it-IT"/>
        </w:rPr>
        <w:t>ment</w:t>
      </w:r>
      <w:r w:rsidRPr="00060B03">
        <w:rPr>
          <w:rFonts w:ascii="Times New Roman" w:hAnsi="Times New Roman" w:cs="Times New Roman"/>
          <w:sz w:val="24"/>
          <w:szCs w:val="24"/>
          <w:lang w:val="it-IT"/>
        </w:rPr>
        <w:t>o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Barth al</w:t>
      </w: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it-IT"/>
        </w:rPr>
        <w:t>Lettera ai Romani</w:t>
      </w:r>
    </w:p>
    <w:p w:rsidR="007944CC" w:rsidRPr="00060B03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6.2. Fede e kerigma in prospettiva esistenziale secondo R. Bultmann </w:t>
      </w:r>
    </w:p>
    <w:p w:rsidR="007944CC" w:rsidRPr="00060B03" w:rsidRDefault="007944CC" w:rsidP="007944CC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>6.3. La teologia kerigmatica o della predicazione secondo i gesuiti di Innsbruck</w:t>
      </w:r>
    </w:p>
    <w:p w:rsidR="007944CC" w:rsidRPr="00060B03" w:rsidRDefault="007944CC" w:rsidP="007944CC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>6.4. Il kerigma e la predicazione negli anni ’50 e ’60: Schlier, Rahner-Lehman</w:t>
      </w:r>
      <w:r>
        <w:rPr>
          <w:rFonts w:ascii="Times New Roman" w:hAnsi="Times New Roman" w:cs="Times New Roman"/>
          <w:sz w:val="24"/>
          <w:szCs w:val="24"/>
          <w:lang w:val="it-IT"/>
        </w:rPr>
        <w:t>n, von Balthasar, Liegé, Grasso</w:t>
      </w: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... </w:t>
      </w:r>
    </w:p>
    <w:p w:rsidR="007944CC" w:rsidRPr="00060B03" w:rsidRDefault="007944CC" w:rsidP="007944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:rsidR="007944CC" w:rsidRPr="00060B03" w:rsidRDefault="007944CC" w:rsidP="007944CC">
      <w:pPr>
        <w:spacing w:after="0" w:line="240" w:lineRule="auto"/>
        <w:ind w:left="426" w:hanging="426"/>
        <w:jc w:val="both"/>
        <w:rPr>
          <w:lang w:val="it-IT"/>
        </w:rPr>
      </w:pPr>
      <w:proofErr w:type="gramStart"/>
      <w:r w:rsidRPr="00060B03">
        <w:rPr>
          <w:rFonts w:ascii="Times New Roman" w:hAnsi="Times New Roman" w:cs="Times New Roman"/>
          <w:b/>
          <w:sz w:val="22"/>
          <w:szCs w:val="22"/>
          <w:lang w:val="it-IT"/>
        </w:rPr>
        <w:t>[</w:t>
      </w:r>
      <w:r w:rsidRPr="00060B03">
        <w:rPr>
          <w:rFonts w:ascii="Times New Roman" w:hAnsi="Times New Roman" w:cs="Times New Roman"/>
          <w:sz w:val="22"/>
          <w:szCs w:val="22"/>
          <w:lang w:val="it-IT"/>
        </w:rPr>
        <w:t>Per</w:t>
      </w:r>
      <w:proofErr w:type="gramEnd"/>
      <w:r w:rsidRPr="00060B03">
        <w:rPr>
          <w:rFonts w:ascii="Times New Roman" w:hAnsi="Times New Roman" w:cs="Times New Roman"/>
          <w:sz w:val="22"/>
          <w:szCs w:val="22"/>
          <w:lang w:val="it-IT"/>
        </w:rPr>
        <w:t xml:space="preserve"> questa sezione vedere M. </w:t>
      </w:r>
      <w:r w:rsidRPr="006C17C6">
        <w:rPr>
          <w:rFonts w:ascii="Times New Roman" w:hAnsi="Times New Roman" w:cs="Times New Roman"/>
          <w:smallCaps/>
          <w:sz w:val="22"/>
          <w:szCs w:val="22"/>
          <w:lang w:val="it-IT"/>
        </w:rPr>
        <w:t>Tibaldi,</w:t>
      </w:r>
      <w:r w:rsidRPr="00060B0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>Kery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gma e atto di fede nella teologi</w:t>
      </w:r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>a di Hans Urs von Balthasar,</w:t>
      </w:r>
      <w:r w:rsidRPr="00060B03">
        <w:rPr>
          <w:rFonts w:ascii="Times New Roman" w:hAnsi="Times New Roman" w:cs="Times New Roman"/>
          <w:sz w:val="22"/>
          <w:szCs w:val="22"/>
          <w:lang w:val="it-IT"/>
        </w:rPr>
        <w:t xml:space="preserve"> Roma, PUG 2005, pp.11-44]</w:t>
      </w:r>
    </w:p>
    <w:p w:rsidR="007944CC" w:rsidRPr="00060B03" w:rsidRDefault="007944CC" w:rsidP="007944CC">
      <w:pPr>
        <w:ind w:left="360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7944CC" w:rsidRPr="009B5236" w:rsidRDefault="007944CC" w:rsidP="007944CC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9B5236">
        <w:rPr>
          <w:lang w:val="it-IT"/>
        </w:rPr>
        <w:t xml:space="preserve">7. Presentazione sintetica del kerigma </w:t>
      </w:r>
    </w:p>
    <w:p w:rsidR="007944CC" w:rsidRPr="009B5236" w:rsidRDefault="007944CC" w:rsidP="007944CC">
      <w:pPr>
        <w:pStyle w:val="Paragrafoelenco"/>
        <w:ind w:left="360"/>
        <w:rPr>
          <w:b/>
          <w:lang w:val="it-IT"/>
        </w:rPr>
      </w:pPr>
    </w:p>
    <w:p w:rsidR="007944CC" w:rsidRDefault="007944CC" w:rsidP="007944CC">
      <w:pPr>
        <w:spacing w:after="0"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17C6">
        <w:rPr>
          <w:rFonts w:ascii="Times New Roman" w:hAnsi="Times New Roman" w:cs="Times New Roman"/>
          <w:sz w:val="24"/>
          <w:szCs w:val="24"/>
          <w:lang w:val="it-IT"/>
        </w:rPr>
        <w:t>7.1</w:t>
      </w:r>
      <w:r w:rsidRPr="006C17C6">
        <w:rPr>
          <w:rFonts w:ascii="Times New Roman" w:hAnsi="Times New Roman" w:cs="Times New Roman"/>
          <w:lang w:val="it-IT"/>
        </w:rPr>
        <w:t xml:space="preserve">. </w:t>
      </w:r>
      <w:r w:rsidRPr="006C17C6">
        <w:rPr>
          <w:rFonts w:ascii="Times New Roman" w:hAnsi="Times New Roman" w:cs="Times New Roman"/>
          <w:sz w:val="24"/>
          <w:szCs w:val="24"/>
          <w:lang w:val="it-IT"/>
        </w:rPr>
        <w:t xml:space="preserve">Il carattere </w:t>
      </w:r>
      <w:r w:rsidRPr="006C17C6">
        <w:rPr>
          <w:rFonts w:ascii="Times New Roman" w:hAnsi="Times New Roman" w:cs="Times New Roman"/>
          <w:i/>
          <w:sz w:val="24"/>
          <w:szCs w:val="24"/>
          <w:lang w:val="it-IT"/>
        </w:rPr>
        <w:t xml:space="preserve">pluridimensionale </w:t>
      </w:r>
      <w:r w:rsidRPr="006C17C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6C17C6">
        <w:rPr>
          <w:rFonts w:ascii="Times New Roman" w:hAnsi="Times New Roman" w:cs="Times New Roman"/>
          <w:i/>
          <w:sz w:val="24"/>
          <w:szCs w:val="24"/>
          <w:lang w:val="it-IT"/>
        </w:rPr>
        <w:t>interattivo</w:t>
      </w:r>
      <w:r w:rsidRPr="006C17C6">
        <w:rPr>
          <w:rFonts w:ascii="Times New Roman" w:hAnsi="Times New Roman" w:cs="Times New Roman"/>
          <w:sz w:val="24"/>
          <w:szCs w:val="24"/>
          <w:lang w:val="it-IT"/>
        </w:rPr>
        <w:t xml:space="preserve"> del kerigma.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Soggetto, mediazione e oggetto del kerigma: doppia realtà analoga.</w:t>
      </w:r>
      <w:proofErr w:type="gramEnd"/>
    </w:p>
    <w:p w:rsidR="007944CC" w:rsidRDefault="007944CC" w:rsidP="007944CC">
      <w:pPr>
        <w:spacing w:after="0"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I tratti fondamentali della concezione neotestamentaria del kerigma permettono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affermare:</w:t>
      </w:r>
    </w:p>
    <w:p w:rsidR="007944CC" w:rsidRPr="006C17C6" w:rsidRDefault="007944CC" w:rsidP="007944CC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6C17C6">
        <w:rPr>
          <w:lang w:val="it-IT"/>
        </w:rPr>
        <w:t>A un primo livello di percezione</w:t>
      </w:r>
      <w:r>
        <w:rPr>
          <w:lang w:val="it-IT"/>
        </w:rPr>
        <w:t>:</w:t>
      </w:r>
    </w:p>
    <w:p w:rsidR="007944CC" w:rsidRPr="009B5236" w:rsidRDefault="007944CC" w:rsidP="007944CC">
      <w:pPr>
        <w:pStyle w:val="Paragrafoelenco"/>
        <w:numPr>
          <w:ilvl w:val="0"/>
          <w:numId w:val="4"/>
        </w:numPr>
        <w:ind w:left="1428"/>
        <w:jc w:val="both"/>
        <w:rPr>
          <w:lang w:val="it-IT"/>
        </w:rPr>
      </w:pPr>
      <w:r w:rsidRPr="006C17C6">
        <w:rPr>
          <w:lang w:val="it-IT"/>
        </w:rPr>
        <w:t>Il cristiano che an</w:t>
      </w:r>
      <w:r>
        <w:rPr>
          <w:lang w:val="it-IT"/>
        </w:rPr>
        <w:t>n</w:t>
      </w:r>
      <w:r w:rsidRPr="006C17C6">
        <w:rPr>
          <w:lang w:val="it-IT"/>
        </w:rPr>
        <w:t xml:space="preserve">uncia Gesù Cristo risorto a un’altra persona è </w:t>
      </w:r>
      <w:r>
        <w:rPr>
          <w:lang w:val="it-IT"/>
        </w:rPr>
        <w:t>(</w:t>
      </w:r>
      <w:r w:rsidRPr="006C17C6">
        <w:rPr>
          <w:lang w:val="it-IT"/>
        </w:rPr>
        <w:t>il</w:t>
      </w:r>
      <w:r>
        <w:rPr>
          <w:lang w:val="it-IT"/>
        </w:rPr>
        <w:t>)</w:t>
      </w:r>
      <w:r w:rsidRPr="006C17C6">
        <w:rPr>
          <w:lang w:val="it-IT"/>
        </w:rPr>
        <w:t xml:space="preserve"> </w:t>
      </w:r>
      <w:r w:rsidRPr="006C17C6">
        <w:rPr>
          <w:i/>
          <w:lang w:val="it-IT"/>
        </w:rPr>
        <w:t>soggetto</w:t>
      </w:r>
      <w:r w:rsidRPr="006C17C6">
        <w:rPr>
          <w:lang w:val="it-IT"/>
        </w:rPr>
        <w:t xml:space="preserve"> e </w:t>
      </w:r>
      <w:r w:rsidRPr="005F02E8">
        <w:rPr>
          <w:i/>
          <w:lang w:val="it-IT"/>
        </w:rPr>
        <w:t>mediatore</w:t>
      </w:r>
      <w:r w:rsidRPr="005F02E8">
        <w:rPr>
          <w:lang w:val="it-IT"/>
        </w:rPr>
        <w:t xml:space="preserve"> del </w:t>
      </w:r>
      <w:r w:rsidRPr="009B5236">
        <w:rPr>
          <w:lang w:val="it-IT"/>
        </w:rPr>
        <w:t xml:space="preserve">kerigma. </w:t>
      </w:r>
    </w:p>
    <w:p w:rsidR="007944CC" w:rsidRDefault="007944CC" w:rsidP="007944CC">
      <w:pPr>
        <w:pStyle w:val="Paragrafoelenco"/>
        <w:numPr>
          <w:ilvl w:val="0"/>
          <w:numId w:val="4"/>
        </w:numPr>
        <w:ind w:left="1428"/>
        <w:jc w:val="both"/>
        <w:rPr>
          <w:lang w:val="it-IT"/>
        </w:rPr>
      </w:pPr>
      <w:r w:rsidRPr="009B5236">
        <w:rPr>
          <w:lang w:val="it-IT"/>
        </w:rPr>
        <w:t>La Persona di Gesù Cristo risorto</w:t>
      </w:r>
      <w:r>
        <w:rPr>
          <w:lang w:val="it-IT"/>
        </w:rPr>
        <w:t xml:space="preserve"> che si </w:t>
      </w:r>
      <w:r w:rsidRPr="005F02E8">
        <w:rPr>
          <w:lang w:val="it-IT"/>
        </w:rPr>
        <w:t>annuncia</w:t>
      </w:r>
      <w:r w:rsidRPr="005F4F82">
        <w:rPr>
          <w:color w:val="FF0000"/>
          <w:lang w:val="it-IT"/>
        </w:rPr>
        <w:t xml:space="preserve"> </w:t>
      </w:r>
      <w:r w:rsidRPr="009B5236">
        <w:rPr>
          <w:lang w:val="it-IT"/>
        </w:rPr>
        <w:t>è l’“</w:t>
      </w:r>
      <w:r w:rsidRPr="009B5236">
        <w:rPr>
          <w:i/>
          <w:lang w:val="it-IT"/>
        </w:rPr>
        <w:t>oggetto</w:t>
      </w:r>
      <w:r w:rsidRPr="009B5236">
        <w:rPr>
          <w:lang w:val="it-IT"/>
        </w:rPr>
        <w:t xml:space="preserve">” </w:t>
      </w:r>
      <w:r>
        <w:rPr>
          <w:lang w:val="it-IT"/>
        </w:rPr>
        <w:t>(</w:t>
      </w:r>
      <w:r w:rsidRPr="009B5236">
        <w:rPr>
          <w:lang w:val="it-IT"/>
        </w:rPr>
        <w:t>proposto all’interlocutore</w:t>
      </w:r>
      <w:r>
        <w:rPr>
          <w:lang w:val="it-IT"/>
        </w:rPr>
        <w:t>)</w:t>
      </w:r>
      <w:r w:rsidRPr="009B5236">
        <w:rPr>
          <w:lang w:val="it-IT"/>
        </w:rPr>
        <w:t>.</w:t>
      </w:r>
    </w:p>
    <w:p w:rsidR="007944CC" w:rsidRPr="009B5236" w:rsidRDefault="007944CC" w:rsidP="007944CC">
      <w:pPr>
        <w:pStyle w:val="Paragrafoelenco"/>
        <w:ind w:left="1428"/>
        <w:jc w:val="both"/>
        <w:rPr>
          <w:lang w:val="it-IT"/>
        </w:rPr>
      </w:pPr>
    </w:p>
    <w:p w:rsidR="007944CC" w:rsidRPr="005F4F82" w:rsidRDefault="007944CC" w:rsidP="007944CC">
      <w:pPr>
        <w:pStyle w:val="Paragrafoelenco"/>
        <w:numPr>
          <w:ilvl w:val="0"/>
          <w:numId w:val="7"/>
        </w:numPr>
        <w:jc w:val="both"/>
        <w:rPr>
          <w:smallCaps/>
          <w:lang w:val="it-IT"/>
        </w:rPr>
      </w:pPr>
      <w:r w:rsidRPr="009B5236">
        <w:rPr>
          <w:lang w:val="it-IT"/>
        </w:rPr>
        <w:t xml:space="preserve">In una visione più profonda: </w:t>
      </w:r>
    </w:p>
    <w:p w:rsidR="007944CC" w:rsidRPr="009B5236" w:rsidRDefault="007944CC" w:rsidP="007944CC">
      <w:pPr>
        <w:pStyle w:val="Paragrafoelenco"/>
        <w:ind w:left="720"/>
        <w:jc w:val="both"/>
        <w:rPr>
          <w:smallCaps/>
          <w:lang w:val="it-IT"/>
        </w:rPr>
      </w:pPr>
    </w:p>
    <w:p w:rsidR="007944CC" w:rsidRDefault="007944CC" w:rsidP="007944CC">
      <w:pPr>
        <w:pStyle w:val="Paragrafoelenco"/>
        <w:numPr>
          <w:ilvl w:val="0"/>
          <w:numId w:val="5"/>
        </w:numPr>
        <w:ind w:left="1425"/>
        <w:jc w:val="both"/>
        <w:rPr>
          <w:lang w:val="it-IT"/>
        </w:rPr>
      </w:pPr>
      <w:r w:rsidRPr="006C17C6">
        <w:rPr>
          <w:lang w:val="it-IT"/>
        </w:rPr>
        <w:t xml:space="preserve">Gesù Cristo appare come il </w:t>
      </w:r>
      <w:r w:rsidRPr="006C17C6">
        <w:rPr>
          <w:i/>
          <w:lang w:val="it-IT"/>
        </w:rPr>
        <w:t>soggetto</w:t>
      </w:r>
      <w:r w:rsidRPr="006C17C6">
        <w:rPr>
          <w:lang w:val="it-IT"/>
        </w:rPr>
        <w:t xml:space="preserve"> primario</w:t>
      </w:r>
      <w:r>
        <w:rPr>
          <w:lang w:val="it-IT"/>
        </w:rPr>
        <w:t xml:space="preserve"> del kerigma, perché Lui stesso si rende presente nella testimonianza e nell’annuncio del suo discepolo.</w:t>
      </w:r>
    </w:p>
    <w:p w:rsidR="007944CC" w:rsidRPr="00230093" w:rsidRDefault="007944CC" w:rsidP="007944CC">
      <w:pPr>
        <w:pStyle w:val="Paragrafoelenco"/>
        <w:numPr>
          <w:ilvl w:val="0"/>
          <w:numId w:val="5"/>
        </w:numPr>
        <w:ind w:left="1425"/>
        <w:jc w:val="both"/>
        <w:rPr>
          <w:lang w:val="it-IT"/>
        </w:rPr>
      </w:pPr>
      <w:r w:rsidRPr="00230093">
        <w:t xml:space="preserve">L’azione dello Spirito Santo, mediatore </w:t>
      </w:r>
      <w:r w:rsidRPr="00230093">
        <w:rPr>
          <w:i/>
        </w:rPr>
        <w:t>invisibile</w:t>
      </w:r>
      <w:r w:rsidRPr="00230093">
        <w:t xml:space="preserve"> ma reale della testimonianza </w:t>
      </w:r>
      <w:r w:rsidRPr="00230093">
        <w:rPr>
          <w:i/>
        </w:rPr>
        <w:t>visibile</w:t>
      </w:r>
      <w:r>
        <w:rPr>
          <w:i/>
        </w:rPr>
        <w:t xml:space="preserve"> </w:t>
      </w:r>
      <w:r w:rsidRPr="00230093">
        <w:t>e dell’annuncio di Cristo da parte del discepolo,</w:t>
      </w:r>
      <w:r>
        <w:t xml:space="preserve"> </w:t>
      </w:r>
      <w:r w:rsidRPr="00230093">
        <w:t>rende possibile un primo incontro con il Signore risorto</w:t>
      </w:r>
      <w:r>
        <w:rPr>
          <w:color w:val="FF0000"/>
        </w:rPr>
        <w:t>.</w:t>
      </w:r>
    </w:p>
    <w:p w:rsidR="007944CC" w:rsidRPr="00EF124C" w:rsidRDefault="007944CC" w:rsidP="007944CC">
      <w:pPr>
        <w:pStyle w:val="Paragrafoelenco"/>
        <w:numPr>
          <w:ilvl w:val="0"/>
          <w:numId w:val="5"/>
        </w:numPr>
        <w:ind w:left="1425"/>
        <w:jc w:val="both"/>
        <w:rPr>
          <w:lang w:val="it-IT"/>
        </w:rPr>
      </w:pPr>
      <w:r w:rsidRPr="00EF124C">
        <w:rPr>
          <w:lang w:val="it-IT"/>
        </w:rPr>
        <w:t>La testimonianza della f</w:t>
      </w:r>
      <w:r>
        <w:rPr>
          <w:lang w:val="it-IT"/>
        </w:rPr>
        <w:t>ede in Cristo</w:t>
      </w:r>
      <w:r w:rsidRPr="0042706E">
        <w:rPr>
          <w:color w:val="FF0000"/>
          <w:lang w:val="it-IT"/>
        </w:rPr>
        <w:t xml:space="preserve"> </w:t>
      </w:r>
      <w:r w:rsidRPr="00CD0DAD">
        <w:rPr>
          <w:lang w:val="it-IT"/>
        </w:rPr>
        <w:t xml:space="preserve">del </w:t>
      </w:r>
      <w:r w:rsidRPr="00230093">
        <w:rPr>
          <w:lang w:val="it-IT"/>
        </w:rPr>
        <w:t>credente</w:t>
      </w:r>
      <w:r>
        <w:rPr>
          <w:lang w:val="it-IT"/>
        </w:rPr>
        <w:t>, diventa a sua volta</w:t>
      </w:r>
      <w:r w:rsidRPr="00EF124C">
        <w:rPr>
          <w:lang w:val="it-IT"/>
        </w:rPr>
        <w:t xml:space="preserve"> </w:t>
      </w:r>
      <w:r w:rsidRPr="00EF124C">
        <w:rPr>
          <w:i/>
          <w:lang w:val="it-IT"/>
        </w:rPr>
        <w:t>oggetto</w:t>
      </w:r>
      <w:r w:rsidRPr="00EF124C">
        <w:rPr>
          <w:lang w:val="it-IT"/>
        </w:rPr>
        <w:t xml:space="preserve"> del kerigma </w:t>
      </w:r>
      <w:r>
        <w:rPr>
          <w:lang w:val="it-IT"/>
        </w:rPr>
        <w:t>poich</w:t>
      </w:r>
      <w:r w:rsidRPr="00EF124C">
        <w:rPr>
          <w:lang w:val="it-IT"/>
        </w:rPr>
        <w:t>é</w:t>
      </w:r>
      <w:r>
        <w:rPr>
          <w:lang w:val="it-IT"/>
        </w:rPr>
        <w:t xml:space="preserve"> è </w:t>
      </w:r>
      <w:r w:rsidRPr="00EF124C">
        <w:rPr>
          <w:lang w:val="it-IT"/>
        </w:rPr>
        <w:t xml:space="preserve">l’unica realtà tangibile che l’interlocutore vede e </w:t>
      </w:r>
      <w:r>
        <w:rPr>
          <w:lang w:val="it-IT"/>
        </w:rPr>
        <w:t>a</w:t>
      </w:r>
      <w:r w:rsidRPr="00EF124C">
        <w:rPr>
          <w:lang w:val="it-IT"/>
        </w:rPr>
        <w:t>scolta.</w:t>
      </w:r>
    </w:p>
    <w:p w:rsidR="007944CC" w:rsidRPr="009B5236" w:rsidRDefault="007944CC" w:rsidP="007944CC">
      <w:pPr>
        <w:spacing w:after="0" w:line="240" w:lineRule="auto"/>
        <w:ind w:left="3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0DAD">
        <w:rPr>
          <w:rFonts w:ascii="Times New Roman" w:hAnsi="Times New Roman" w:cs="Times New Roman"/>
          <w:sz w:val="24"/>
          <w:szCs w:val="24"/>
          <w:lang w:val="it-IT"/>
        </w:rPr>
        <w:t>Qu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esta </w:t>
      </w:r>
      <w:r w:rsidRPr="00EF124C">
        <w:rPr>
          <w:rFonts w:ascii="Times New Roman" w:hAnsi="Times New Roman" w:cs="Times New Roman"/>
          <w:i/>
          <w:sz w:val="24"/>
          <w:szCs w:val="24"/>
          <w:lang w:val="it-IT"/>
        </w:rPr>
        <w:t>doppia mediazione,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non avv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ene </w:t>
      </w:r>
      <w:r w:rsidRPr="00CD0DAD">
        <w:rPr>
          <w:rFonts w:ascii="Times New Roman" w:hAnsi="Times New Roman" w:cs="Times New Roman"/>
          <w:i/>
          <w:sz w:val="24"/>
          <w:szCs w:val="24"/>
          <w:lang w:val="it-IT"/>
        </w:rPr>
        <w:t>nel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kerigma ma </w:t>
      </w:r>
      <w:r w:rsidRPr="00EF124C">
        <w:rPr>
          <w:rFonts w:ascii="Times New Roman" w:hAnsi="Times New Roman" w:cs="Times New Roman"/>
          <w:i/>
          <w:sz w:val="24"/>
          <w:szCs w:val="24"/>
          <w:lang w:val="it-IT"/>
        </w:rPr>
        <w:t>essa stessa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kerigma, perché in essa si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realizza l’evento dell’incontro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tra la libertà dell’essere umano e quella di Dio. 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Cf. </w:t>
      </w:r>
      <w:proofErr w:type="gramStart"/>
      <w:r w:rsidRPr="009B5236">
        <w:rPr>
          <w:rFonts w:ascii="Times New Roman" w:hAnsi="Times New Roman" w:cs="Times New Roman"/>
          <w:sz w:val="24"/>
          <w:szCs w:val="24"/>
          <w:lang w:val="it-IT"/>
        </w:rPr>
        <w:t>E.</w:t>
      </w:r>
      <w:proofErr w:type="gram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5236">
        <w:rPr>
          <w:rFonts w:ascii="Times New Roman" w:hAnsi="Times New Roman" w:cs="Times New Roman"/>
          <w:smallCaps/>
          <w:sz w:val="24"/>
          <w:szCs w:val="24"/>
          <w:lang w:val="it-IT"/>
        </w:rPr>
        <w:t>Simons,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5236">
        <w:rPr>
          <w:rFonts w:ascii="Times New Roman" w:hAnsi="Times New Roman" w:cs="Times New Roman"/>
          <w:i/>
          <w:sz w:val="24"/>
          <w:szCs w:val="24"/>
          <w:lang w:val="it-IT"/>
        </w:rPr>
        <w:t>Kerigma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, in K. </w:t>
      </w:r>
      <w:r w:rsidRPr="009B5236">
        <w:rPr>
          <w:rFonts w:ascii="Times New Roman" w:hAnsi="Times New Roman" w:cs="Times New Roman"/>
          <w:smallCaps/>
          <w:sz w:val="24"/>
          <w:szCs w:val="24"/>
          <w:lang w:val="it-IT"/>
        </w:rPr>
        <w:t>Rahner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et Alii (Dr.), </w:t>
      </w:r>
      <w:r w:rsidRPr="009B5236">
        <w:rPr>
          <w:rFonts w:ascii="Times New Roman" w:hAnsi="Times New Roman" w:cs="Times New Roman"/>
          <w:i/>
          <w:sz w:val="24"/>
          <w:szCs w:val="24"/>
          <w:lang w:val="it-IT"/>
        </w:rPr>
        <w:t>Sacramentum Mundi. Enciclopedia teológica</w:t>
      </w:r>
      <w:proofErr w:type="gramStart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,</w:t>
      </w:r>
      <w:proofErr w:type="gram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vol. IV, Barcelona 1977, col 195).</w:t>
      </w:r>
      <w:r w:rsidRPr="002619B5">
        <w:rPr>
          <w:rStyle w:val="Rimandonotaapidipagina"/>
          <w:rFonts w:ascii="Times New Roman" w:hAnsi="Times New Roman"/>
          <w:sz w:val="24"/>
          <w:szCs w:val="24"/>
          <w:lang w:val="es-E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Default="007944CC" w:rsidP="007944CC">
      <w:pPr>
        <w:rPr>
          <w:sz w:val="22"/>
          <w:szCs w:val="22"/>
        </w:rPr>
      </w:pPr>
    </w:p>
    <w:p w:rsidR="007944CC" w:rsidRPr="009B5236" w:rsidRDefault="007944CC" w:rsidP="007944CC">
      <w:pPr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2619B5">
        <w:rPr>
          <w:rFonts w:ascii="Times New Roman" w:hAnsi="Times New Roman" w:cs="Times New Roman"/>
          <w:sz w:val="24"/>
          <w:szCs w:val="24"/>
        </w:rPr>
        <w:lastRenderedPageBreak/>
        <w:t>7.2.</w:t>
      </w:r>
      <w:r>
        <w:rPr>
          <w:rFonts w:ascii="Times New Roman" w:hAnsi="Times New Roman" w:cs="Times New Roman"/>
          <w:sz w:val="24"/>
          <w:szCs w:val="24"/>
        </w:rPr>
        <w:t xml:space="preserve"> Nell’avvenimento del kerigma confluiscono delle </w:t>
      </w:r>
      <w:r>
        <w:rPr>
          <w:rFonts w:ascii="Times New Roman" w:hAnsi="Times New Roman" w:cs="Times New Roman"/>
          <w:i/>
          <w:sz w:val="24"/>
          <w:szCs w:val="24"/>
        </w:rPr>
        <w:t xml:space="preserve">dimensioni </w:t>
      </w:r>
      <w:r w:rsidRPr="00CD0DAD">
        <w:rPr>
          <w:rFonts w:ascii="Times New Roman" w:hAnsi="Times New Roman" w:cs="Times New Roman"/>
          <w:i/>
          <w:sz w:val="24"/>
          <w:szCs w:val="24"/>
        </w:rPr>
        <w:t>contrapposte: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CC" w:rsidRPr="004E2B7B" w:rsidRDefault="007944CC" w:rsidP="007944CC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4E2B7B">
        <w:rPr>
          <w:lang w:val="it-IT"/>
        </w:rPr>
        <w:t>L’</w:t>
      </w:r>
      <w:r w:rsidRPr="004E2B7B">
        <w:rPr>
          <w:i/>
          <w:lang w:val="it-IT"/>
        </w:rPr>
        <w:t>eschaton</w:t>
      </w:r>
      <w:r w:rsidRPr="004E2B7B">
        <w:rPr>
          <w:lang w:val="it-IT"/>
        </w:rPr>
        <w:t xml:space="preserve"> - Cristo risorto, la pienezza del Regno</w:t>
      </w:r>
      <w:r>
        <w:rPr>
          <w:lang w:val="it-IT"/>
        </w:rPr>
        <w:t xml:space="preserve"> di Dio – e la storia concreta – il </w:t>
      </w:r>
      <w:proofErr w:type="gramStart"/>
      <w:r w:rsidRPr="00CD0DAD">
        <w:rPr>
          <w:i/>
          <w:lang w:val="it-IT"/>
        </w:rPr>
        <w:t>già-ma-non-ancora-del-tutto</w:t>
      </w:r>
      <w:proofErr w:type="gramEnd"/>
      <w:r>
        <w:rPr>
          <w:lang w:val="it-IT"/>
        </w:rPr>
        <w:t>. Nell’atto di annunciare il kerigma avviene una trasformazione qualitativa del tempo, che da “</w:t>
      </w:r>
      <w:r w:rsidRPr="00CD0DAD">
        <w:rPr>
          <w:i/>
          <w:lang w:val="it-IT"/>
        </w:rPr>
        <w:t>cronos</w:t>
      </w:r>
      <w:r>
        <w:rPr>
          <w:lang w:val="it-IT"/>
        </w:rPr>
        <w:t xml:space="preserve">” – tempo cronologico ciclico – diventa </w:t>
      </w:r>
      <w:r w:rsidRPr="004E2B7B">
        <w:rPr>
          <w:lang w:val="it-IT"/>
        </w:rPr>
        <w:t>“</w:t>
      </w:r>
      <w:r w:rsidRPr="004E2B7B">
        <w:rPr>
          <w:i/>
          <w:lang w:val="it-IT"/>
        </w:rPr>
        <w:t>kairós</w:t>
      </w:r>
      <w:r w:rsidRPr="004E2B7B">
        <w:rPr>
          <w:lang w:val="it-IT"/>
        </w:rPr>
        <w:t xml:space="preserve">” </w:t>
      </w:r>
      <w:r>
        <w:rPr>
          <w:lang w:val="it-IT"/>
        </w:rPr>
        <w:t xml:space="preserve">– tempo opportuno che segna </w:t>
      </w:r>
      <w:proofErr w:type="gramStart"/>
      <w:r>
        <w:rPr>
          <w:lang w:val="it-IT"/>
        </w:rPr>
        <w:t>un</w:t>
      </w:r>
      <w:proofErr w:type="gramEnd"/>
      <w:r>
        <w:rPr>
          <w:lang w:val="it-IT"/>
        </w:rPr>
        <w:t xml:space="preserve"> prima e un poi e con questo apre il tempo lineare o propriamente storico. </w:t>
      </w:r>
    </w:p>
    <w:p w:rsidR="007944CC" w:rsidRPr="004E2B7B" w:rsidRDefault="007944CC" w:rsidP="007944CC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4E2B7B">
        <w:rPr>
          <w:lang w:val="it-IT"/>
        </w:rPr>
        <w:t>Il dogma oggettivo – “</w:t>
      </w:r>
      <w:r w:rsidRPr="004E2B7B">
        <w:rPr>
          <w:i/>
          <w:lang w:val="it-IT"/>
        </w:rPr>
        <w:t>fides quae</w:t>
      </w:r>
      <w:r w:rsidRPr="004E2B7B">
        <w:rPr>
          <w:lang w:val="it-IT"/>
        </w:rPr>
        <w:t>” (“Cristo è il Signore</w:t>
      </w:r>
      <w:r>
        <w:rPr>
          <w:lang w:val="it-IT"/>
        </w:rPr>
        <w:t xml:space="preserve">”) – e la confessione di fede personale </w:t>
      </w:r>
      <w:r w:rsidRPr="004E2B7B">
        <w:rPr>
          <w:lang w:val="it-IT"/>
        </w:rPr>
        <w:t>– “</w:t>
      </w:r>
      <w:r w:rsidRPr="004E2B7B">
        <w:rPr>
          <w:i/>
          <w:lang w:val="it-IT"/>
        </w:rPr>
        <w:t>fides qua</w:t>
      </w:r>
      <w:r w:rsidRPr="004E2B7B">
        <w:rPr>
          <w:lang w:val="it-IT"/>
        </w:rPr>
        <w:t>” (“</w:t>
      </w:r>
      <w:r>
        <w:rPr>
          <w:lang w:val="it-IT"/>
        </w:rPr>
        <w:t>Gesù Cristo, se esiste, fa’ che ti conosca</w:t>
      </w:r>
      <w:r w:rsidRPr="004E2B7B">
        <w:rPr>
          <w:lang w:val="it-IT"/>
        </w:rPr>
        <w:t>”)</w:t>
      </w:r>
      <w:r>
        <w:rPr>
          <w:lang w:val="it-IT"/>
        </w:rPr>
        <w:t>.</w:t>
      </w:r>
      <w:r w:rsidRPr="004E2B7B">
        <w:rPr>
          <w:lang w:val="it-IT"/>
        </w:rPr>
        <w:t xml:space="preserve"> </w:t>
      </w:r>
    </w:p>
    <w:p w:rsidR="007944CC" w:rsidRPr="007A7E2B" w:rsidRDefault="007944CC" w:rsidP="007944CC">
      <w:pPr>
        <w:pStyle w:val="Paragrafoelenco"/>
        <w:numPr>
          <w:ilvl w:val="0"/>
          <w:numId w:val="6"/>
        </w:numPr>
        <w:jc w:val="both"/>
        <w:rPr>
          <w:lang w:val="it-IT"/>
        </w:rPr>
      </w:pPr>
      <w:proofErr w:type="gramStart"/>
      <w:r w:rsidRPr="007A7E2B">
        <w:rPr>
          <w:lang w:val="it-IT"/>
        </w:rPr>
        <w:t>La dimens</w:t>
      </w:r>
      <w:r>
        <w:rPr>
          <w:lang w:val="it-IT"/>
        </w:rPr>
        <w:t>ione pubblica</w:t>
      </w:r>
      <w:r w:rsidRPr="007A7E2B">
        <w:rPr>
          <w:lang w:val="it-IT"/>
        </w:rPr>
        <w:t>-sociale (una conversazione tra due amici) e la dimensione pneumatica (la mediazione invisibile ma reale dello Spirito</w:t>
      </w:r>
      <w:proofErr w:type="gramEnd"/>
      <w:r w:rsidRPr="007A7E2B">
        <w:rPr>
          <w:lang w:val="it-IT"/>
        </w:rPr>
        <w:t xml:space="preserve"> Santo).</w:t>
      </w:r>
    </w:p>
    <w:p w:rsidR="007944CC" w:rsidRPr="007A7E2B" w:rsidRDefault="007944CC" w:rsidP="007944CC">
      <w:pPr>
        <w:pStyle w:val="Paragrafoelenco"/>
        <w:numPr>
          <w:ilvl w:val="0"/>
          <w:numId w:val="6"/>
        </w:numPr>
        <w:jc w:val="both"/>
        <w:rPr>
          <w:b/>
          <w:lang w:val="it-IT"/>
        </w:rPr>
      </w:pPr>
      <w:r w:rsidRPr="007A7E2B">
        <w:rPr>
          <w:lang w:val="it-IT"/>
        </w:rPr>
        <w:t xml:space="preserve">La dimensione ecclesiale (è </w:t>
      </w:r>
      <w:proofErr w:type="gramStart"/>
      <w:r w:rsidRPr="007A7E2B">
        <w:rPr>
          <w:lang w:val="it-IT"/>
        </w:rPr>
        <w:t>la Chiesa soggetto collettivo</w:t>
      </w:r>
      <w:proofErr w:type="gramEnd"/>
      <w:r w:rsidRPr="007A7E2B">
        <w:rPr>
          <w:lang w:val="it-IT"/>
        </w:rPr>
        <w:t xml:space="preserve"> che invia) e la dim</w:t>
      </w:r>
      <w:r>
        <w:rPr>
          <w:lang w:val="it-IT"/>
        </w:rPr>
        <w:t>ensione singolare di ogni cristi</w:t>
      </w:r>
      <w:r w:rsidRPr="007A7E2B">
        <w:rPr>
          <w:lang w:val="it-IT"/>
        </w:rPr>
        <w:t xml:space="preserve">ano inviato ad annunciare il kerigma. </w:t>
      </w:r>
    </w:p>
    <w:p w:rsidR="007944CC" w:rsidRPr="00230093" w:rsidRDefault="007944CC" w:rsidP="007944CC">
      <w:pPr>
        <w:pStyle w:val="Paragrafoelenco"/>
        <w:ind w:left="720"/>
        <w:jc w:val="both"/>
        <w:rPr>
          <w:sz w:val="22"/>
          <w:szCs w:val="22"/>
          <w:lang w:val="en-US"/>
        </w:rPr>
      </w:pPr>
      <w:r w:rsidRPr="003940CB">
        <w:rPr>
          <w:lang w:val="it-IT"/>
        </w:rPr>
        <w:t xml:space="preserve"> </w:t>
      </w:r>
      <w:r w:rsidRPr="00230093">
        <w:rPr>
          <w:sz w:val="22"/>
          <w:szCs w:val="22"/>
          <w:lang w:val="en-US"/>
        </w:rPr>
        <w:t xml:space="preserve">(Cf. E. </w:t>
      </w:r>
      <w:r w:rsidRPr="00230093">
        <w:rPr>
          <w:smallCaps/>
          <w:sz w:val="22"/>
          <w:szCs w:val="22"/>
          <w:lang w:val="en-US"/>
        </w:rPr>
        <w:t>Simons</w:t>
      </w:r>
      <w:r w:rsidRPr="00230093">
        <w:rPr>
          <w:sz w:val="22"/>
          <w:szCs w:val="22"/>
          <w:lang w:val="en-US"/>
        </w:rPr>
        <w:t xml:space="preserve">, </w:t>
      </w:r>
      <w:r w:rsidRPr="00230093">
        <w:rPr>
          <w:i/>
          <w:sz w:val="22"/>
          <w:szCs w:val="22"/>
          <w:lang w:val="en-US"/>
        </w:rPr>
        <w:t>Kerigma</w:t>
      </w:r>
      <w:r w:rsidRPr="00230093">
        <w:rPr>
          <w:sz w:val="22"/>
          <w:szCs w:val="22"/>
          <w:lang w:val="en-US"/>
        </w:rPr>
        <w:t>, SM, IV, col. 196).</w:t>
      </w:r>
      <w:r>
        <w:rPr>
          <w:sz w:val="22"/>
          <w:szCs w:val="22"/>
          <w:lang w:val="en-US"/>
        </w:rPr>
        <w:t xml:space="preserve"> </w:t>
      </w:r>
    </w:p>
    <w:p w:rsidR="007944CC" w:rsidRPr="007A7E2B" w:rsidRDefault="007944CC" w:rsidP="007944CC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7A7E2B">
        <w:rPr>
          <w:lang w:val="it-IT"/>
        </w:rPr>
        <w:t>L’eco della crea</w:t>
      </w:r>
      <w:r>
        <w:rPr>
          <w:lang w:val="it-IT"/>
        </w:rPr>
        <w:t>zione, per cui</w:t>
      </w:r>
      <w:r w:rsidRPr="007A7E2B">
        <w:rPr>
          <w:lang w:val="it-IT"/>
        </w:rPr>
        <w:t xml:space="preserve"> Dio </w:t>
      </w:r>
      <w:r>
        <w:rPr>
          <w:lang w:val="it-IT"/>
        </w:rPr>
        <w:t>dà</w:t>
      </w:r>
      <w:r w:rsidRPr="007A7E2B">
        <w:rPr>
          <w:lang w:val="it-IT"/>
        </w:rPr>
        <w:t xml:space="preserve"> del “tu” </w:t>
      </w:r>
      <w:r>
        <w:rPr>
          <w:lang w:val="it-IT"/>
        </w:rPr>
        <w:t>al</w:t>
      </w:r>
      <w:r w:rsidRPr="007A7E2B">
        <w:rPr>
          <w:lang w:val="it-IT"/>
        </w:rPr>
        <w:t xml:space="preserve">l’essere umano e la risonanza cosmica dell’invio di Gesù Cristo risorto: “Andate al mondo intero e proclamate il Vangelo”. </w:t>
      </w:r>
    </w:p>
    <w:p w:rsidR="007944CC" w:rsidRPr="003940CB" w:rsidRDefault="007944CC" w:rsidP="007944CC">
      <w:pPr>
        <w:pStyle w:val="Paragrafoelenco"/>
        <w:ind w:left="1083"/>
        <w:jc w:val="both"/>
        <w:rPr>
          <w:lang w:val="it-IT"/>
        </w:rPr>
      </w:pPr>
    </w:p>
    <w:p w:rsidR="007944CC" w:rsidRPr="007A7E2B" w:rsidRDefault="007944CC" w:rsidP="007944CC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7A7E2B">
        <w:rPr>
          <w:lang w:val="it-IT"/>
        </w:rPr>
        <w:t xml:space="preserve">8. Il </w:t>
      </w:r>
      <w:r>
        <w:rPr>
          <w:szCs w:val="24"/>
        </w:rPr>
        <w:t>contenuto</w:t>
      </w:r>
      <w:r w:rsidRPr="007A7E2B">
        <w:rPr>
          <w:lang w:val="it-IT"/>
        </w:rPr>
        <w:t xml:space="preserve"> del kerigma oggi </w:t>
      </w:r>
    </w:p>
    <w:p w:rsidR="007944CC" w:rsidRPr="007A7E2B" w:rsidRDefault="007944CC" w:rsidP="007944CC">
      <w:pPr>
        <w:spacing w:after="0"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A7E2B">
        <w:rPr>
          <w:rFonts w:ascii="Times New Roman" w:hAnsi="Times New Roman" w:cs="Times New Roman"/>
          <w:sz w:val="22"/>
          <w:szCs w:val="22"/>
          <w:lang w:val="it-IT"/>
        </w:rPr>
        <w:t>8.1. Il primo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annuncio o kerigma è inseparabilmente un atto e un contenuto. Ossia, si tratta di un atto di comunicazione orale in cui il comunicato – l’evento salvatore di Gesù Cristo – accade realmente in forma iniziale nell’azione comunicativa.</w:t>
      </w:r>
    </w:p>
    <w:p w:rsidR="007944CC" w:rsidRPr="007A7E2B" w:rsidRDefault="007944CC" w:rsidP="007944CC">
      <w:pPr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  <w:t>Il primo annuncio cristiano è un “</w:t>
      </w:r>
      <w:r w:rsidRPr="007A7E2B">
        <w:rPr>
          <w:rFonts w:ascii="Times New Roman" w:hAnsi="Times New Roman" w:cs="Times New Roman"/>
          <w:i/>
          <w:sz w:val="22"/>
          <w:szCs w:val="22"/>
          <w:lang w:val="it-IT"/>
        </w:rPr>
        <w:t xml:space="preserve">genere </w:t>
      </w:r>
      <w:proofErr w:type="gramStart"/>
      <w:r w:rsidRPr="007A7E2B">
        <w:rPr>
          <w:rFonts w:ascii="Times New Roman" w:hAnsi="Times New Roman" w:cs="Times New Roman"/>
          <w:i/>
          <w:sz w:val="22"/>
          <w:szCs w:val="22"/>
          <w:lang w:val="it-IT"/>
        </w:rPr>
        <w:t>linguistico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proprio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che fonda le sue radici nella stessa predicazione del ministero pubblico di Gesù, e nella predicazione dei suoi apostoli prima di essere raccolta nei diversi scritti del Nuovo Testamento che, di fatto, suppone già diverse versioni teologizzate del kerigma.</w:t>
      </w:r>
      <w:r w:rsidRPr="00955A77">
        <w:rPr>
          <w:rStyle w:val="Rimandonotaapidipagina"/>
          <w:rFonts w:ascii="Times New Roman" w:hAnsi="Times New Roman"/>
          <w:sz w:val="22"/>
          <w:szCs w:val="22"/>
          <w:lang w:val="es-ES"/>
        </w:rPr>
        <w:footnoteReference w:id="2"/>
      </w:r>
      <w:r w:rsidRPr="007A7E2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7944CC" w:rsidRPr="007A7E2B" w:rsidRDefault="007944CC" w:rsidP="007944CC">
      <w:pPr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A7E2B">
        <w:rPr>
          <w:rFonts w:ascii="Times New Roman" w:hAnsi="Times New Roman" w:cs="Times New Roman"/>
          <w:sz w:val="22"/>
          <w:szCs w:val="22"/>
          <w:lang w:val="it-IT"/>
        </w:rPr>
        <w:t>Da qui la difficoltà di voler trarre direttamente formule kerigmatiche precise dai testi del Nuovo Testamento</w:t>
      </w:r>
      <w:proofErr w:type="gramEnd"/>
      <w:r w:rsidRPr="007A7E2B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it-IT"/>
        </w:rPr>
        <w:t>Inoltre, il primo annuncio, essendo</w:t>
      </w:r>
      <w:r w:rsidRPr="0023009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in certo modo essenzialmente lo stesso, deve incarnarsi nell’evangelizzazione di ogni nuova epoca per essere effettivamente espressivo per le nuove generazioni di ascoltatori.</w:t>
      </w:r>
      <w:r w:rsidRPr="001D000B">
        <w:rPr>
          <w:rStyle w:val="Rimandonotaapidipagina"/>
          <w:rFonts w:ascii="Times New Roman" w:hAnsi="Times New Roman"/>
          <w:sz w:val="22"/>
          <w:szCs w:val="22"/>
          <w:lang w:val="es-ES"/>
        </w:rPr>
        <w:footnoteReference w:id="3"/>
      </w:r>
    </w:p>
    <w:p w:rsidR="007944CC" w:rsidRPr="007A7E2B" w:rsidRDefault="007944CC" w:rsidP="007944CC">
      <w:pPr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A7E2B">
        <w:rPr>
          <w:rFonts w:ascii="Times New Roman" w:hAnsi="Times New Roman" w:cs="Times New Roman"/>
          <w:sz w:val="22"/>
          <w:szCs w:val="22"/>
          <w:lang w:val="it-IT"/>
        </w:rPr>
        <w:t>8.2.Il</w:t>
      </w:r>
      <w:proofErr w:type="gramEnd"/>
      <w:r w:rsidRPr="007A7E2B">
        <w:rPr>
          <w:rFonts w:ascii="Times New Roman" w:hAnsi="Times New Roman" w:cs="Times New Roman"/>
          <w:sz w:val="22"/>
          <w:szCs w:val="22"/>
          <w:lang w:val="it-IT"/>
        </w:rPr>
        <w:t xml:space="preserve"> kerigma suppone </w:t>
      </w:r>
      <w:r>
        <w:rPr>
          <w:rFonts w:ascii="Times New Roman" w:hAnsi="Times New Roman" w:cs="Times New Roman"/>
          <w:sz w:val="22"/>
          <w:szCs w:val="22"/>
          <w:lang w:val="it-IT"/>
        </w:rPr>
        <w:t>da parte di chi lo comunica una narrazione vibrante fatta con fede, speranza e amore articolata sinteticamente su questi tre elementi:</w:t>
      </w:r>
    </w:p>
    <w:p w:rsidR="007944CC" w:rsidRPr="003940CB" w:rsidRDefault="007944CC" w:rsidP="007944CC">
      <w:pPr>
        <w:pStyle w:val="Paragrafoelenco"/>
        <w:ind w:left="1005" w:hanging="285"/>
        <w:jc w:val="both"/>
        <w:rPr>
          <w:lang w:val="it-IT"/>
        </w:rPr>
      </w:pPr>
      <w:r w:rsidRPr="002D5B82">
        <w:rPr>
          <w:lang w:val="it-IT"/>
        </w:rPr>
        <w:t xml:space="preserve">a) </w:t>
      </w:r>
      <w:r w:rsidRPr="002D5B82">
        <w:rPr>
          <w:lang w:val="it-IT"/>
        </w:rPr>
        <w:tab/>
      </w:r>
      <w:proofErr w:type="gramStart"/>
      <w:r w:rsidRPr="002D5B82">
        <w:rPr>
          <w:lang w:val="it-IT"/>
        </w:rPr>
        <w:t xml:space="preserve">Una </w:t>
      </w:r>
      <w:r w:rsidRPr="002D5B82">
        <w:rPr>
          <w:i/>
          <w:iCs/>
          <w:lang w:val="it-IT"/>
        </w:rPr>
        <w:t xml:space="preserve">narrazione </w:t>
      </w:r>
      <w:r w:rsidRPr="002D5B82">
        <w:rPr>
          <w:iCs/>
          <w:lang w:val="it-IT"/>
        </w:rPr>
        <w:t>breve e</w:t>
      </w:r>
      <w:r w:rsidRPr="002D5B82">
        <w:rPr>
          <w:i/>
          <w:iCs/>
          <w:lang w:val="it-IT"/>
        </w:rPr>
        <w:t xml:space="preserve"> </w:t>
      </w:r>
      <w:r w:rsidRPr="002D5B82">
        <w:rPr>
          <w:lang w:val="it-IT"/>
        </w:rPr>
        <w:t xml:space="preserve">concentrata del fatto storico della vita, passione, e </w:t>
      </w:r>
      <w:r>
        <w:rPr>
          <w:lang w:val="it-IT"/>
        </w:rPr>
        <w:t>m</w:t>
      </w:r>
      <w:r w:rsidRPr="002D5B82">
        <w:rPr>
          <w:lang w:val="it-IT"/>
        </w:rPr>
        <w:t>orte di Gesù Cristo</w:t>
      </w:r>
      <w:proofErr w:type="gramEnd"/>
      <w:r w:rsidRPr="002D5B82">
        <w:rPr>
          <w:lang w:val="it-IT"/>
        </w:rPr>
        <w:t>.</w:t>
      </w:r>
      <w:r>
        <w:rPr>
          <w:lang w:val="it-IT"/>
        </w:rPr>
        <w:t xml:space="preserve"> </w:t>
      </w:r>
    </w:p>
    <w:p w:rsidR="007944CC" w:rsidRPr="002D5B82" w:rsidRDefault="007944CC" w:rsidP="007944CC">
      <w:pPr>
        <w:pStyle w:val="Paragrafoelenco"/>
        <w:ind w:left="1005" w:hanging="285"/>
        <w:jc w:val="both"/>
        <w:rPr>
          <w:lang w:val="it-IT"/>
        </w:rPr>
      </w:pPr>
      <w:r w:rsidRPr="002D5B82">
        <w:rPr>
          <w:lang w:val="it-IT"/>
        </w:rPr>
        <w:t>b)</w:t>
      </w:r>
      <w:r>
        <w:rPr>
          <w:lang w:val="it-IT"/>
        </w:rPr>
        <w:t xml:space="preserve"> </w:t>
      </w:r>
      <w:proofErr w:type="gramStart"/>
      <w:r w:rsidRPr="002D5B82">
        <w:rPr>
          <w:lang w:val="it-IT"/>
        </w:rPr>
        <w:t>L’</w:t>
      </w:r>
      <w:proofErr w:type="gramEnd"/>
      <w:r w:rsidRPr="002D5B82">
        <w:rPr>
          <w:i/>
          <w:iCs/>
          <w:lang w:val="it-IT"/>
        </w:rPr>
        <w:t>annuncio</w:t>
      </w:r>
      <w:r w:rsidRPr="002D5B82">
        <w:rPr>
          <w:lang w:val="it-IT"/>
        </w:rPr>
        <w:t xml:space="preserve"> della sua risurrezione – realizzata da Dio e testimoniata dagli apostoli – e la </w:t>
      </w:r>
      <w:r w:rsidRPr="002D5B82">
        <w:rPr>
          <w:i/>
          <w:lang w:val="it-IT"/>
        </w:rPr>
        <w:t xml:space="preserve">confessione </w:t>
      </w:r>
      <w:r w:rsidRPr="002D5B82">
        <w:rPr>
          <w:lang w:val="it-IT"/>
        </w:rPr>
        <w:t>della sua condizione di Figlio di Dio, Signore e</w:t>
      </w:r>
      <w:r>
        <w:rPr>
          <w:lang w:val="it-IT"/>
        </w:rPr>
        <w:t xml:space="preserve"> Salvatore di tutta l’umanità. Tutto questo </w:t>
      </w:r>
      <w:r w:rsidRPr="00230093">
        <w:rPr>
          <w:lang w:val="it-IT"/>
        </w:rPr>
        <w:t xml:space="preserve">perché </w:t>
      </w:r>
      <w:r>
        <w:rPr>
          <w:lang w:val="it-IT"/>
        </w:rPr>
        <w:t>sperimentato nella vita stessa del soggetto dell’annuncio.</w:t>
      </w:r>
    </w:p>
    <w:p w:rsidR="007944CC" w:rsidRPr="002D5B82" w:rsidRDefault="007944CC" w:rsidP="007944CC">
      <w:pPr>
        <w:pStyle w:val="Paragrafoelenco"/>
        <w:ind w:left="1005" w:hanging="696"/>
        <w:jc w:val="both"/>
        <w:rPr>
          <w:lang w:val="it-IT"/>
        </w:rPr>
      </w:pPr>
      <w:r>
        <w:rPr>
          <w:lang w:val="it-IT"/>
        </w:rPr>
        <w:t xml:space="preserve">  </w:t>
      </w:r>
      <w:r w:rsidRPr="002D5B82">
        <w:rPr>
          <w:lang w:val="it-IT"/>
        </w:rPr>
        <w:t xml:space="preserve">c) Un </w:t>
      </w:r>
      <w:r w:rsidRPr="002D5B82">
        <w:rPr>
          <w:i/>
          <w:iCs/>
          <w:lang w:val="it-IT"/>
        </w:rPr>
        <w:t xml:space="preserve">invito </w:t>
      </w:r>
      <w:r w:rsidRPr="002D5B82">
        <w:rPr>
          <w:lang w:val="it-IT"/>
        </w:rPr>
        <w:t xml:space="preserve">diretto all’uditore </w:t>
      </w:r>
      <w:r>
        <w:rPr>
          <w:lang w:val="it-IT"/>
        </w:rPr>
        <w:t>con l’</w:t>
      </w:r>
      <w:r w:rsidRPr="002D5B82">
        <w:rPr>
          <w:lang w:val="it-IT"/>
        </w:rPr>
        <w:t>intenzione di su</w:t>
      </w:r>
      <w:r>
        <w:rPr>
          <w:lang w:val="it-IT"/>
        </w:rPr>
        <w:t xml:space="preserve">scitare nel suo cuore l’accettazione iniziale di Gesù Cristo risorto come Signore e Salvatore della sua vita nelle sue situazioni concrete, che per questo devono essere rese comprensibili e tenute presenti come punto di contatto antropologico dell’annuncio (vedere </w:t>
      </w:r>
      <w:r w:rsidRPr="002D5B82">
        <w:rPr>
          <w:i/>
          <w:lang w:val="it-IT"/>
        </w:rPr>
        <w:t>supra</w:t>
      </w:r>
      <w:r>
        <w:rPr>
          <w:lang w:val="it-IT"/>
        </w:rPr>
        <w:t xml:space="preserve"> 3.2</w:t>
      </w:r>
      <w:proofErr w:type="gramStart"/>
      <w:r>
        <w:rPr>
          <w:lang w:val="it-IT"/>
        </w:rPr>
        <w:t>).</w:t>
      </w:r>
      <w:proofErr w:type="gramEnd"/>
      <w:r w:rsidRPr="00F362A1">
        <w:rPr>
          <w:rStyle w:val="Rimandonotaapidipagina"/>
          <w:lang w:val="es-ES"/>
        </w:rPr>
        <w:footnoteReference w:id="4"/>
      </w:r>
    </w:p>
    <w:p w:rsidR="007944CC" w:rsidRPr="002D5B82" w:rsidRDefault="007944CC" w:rsidP="007944CC">
      <w:pPr>
        <w:pStyle w:val="Paragrafoelenco"/>
        <w:ind w:left="1215" w:hanging="696"/>
        <w:jc w:val="both"/>
        <w:rPr>
          <w:lang w:val="it-IT"/>
        </w:rPr>
      </w:pPr>
    </w:p>
    <w:p w:rsidR="007944CC" w:rsidRPr="00FA73B9" w:rsidRDefault="007944CC" w:rsidP="007944CC">
      <w:pPr>
        <w:pStyle w:val="Titolo2"/>
        <w:numPr>
          <w:ilvl w:val="0"/>
          <w:numId w:val="0"/>
        </w:numPr>
        <w:rPr>
          <w:smallCaps/>
          <w:lang w:val="it-IT"/>
        </w:rPr>
      </w:pPr>
      <w:r w:rsidRPr="00FA73B9">
        <w:rPr>
          <w:lang w:val="it-IT"/>
        </w:rPr>
        <w:t>9. L’</w:t>
      </w:r>
      <w:r>
        <w:t>at</w:t>
      </w:r>
      <w:r w:rsidRPr="001D000B">
        <w:t>to</w:t>
      </w:r>
      <w:r w:rsidRPr="00FA73B9">
        <w:rPr>
          <w:lang w:val="it-IT"/>
        </w:rPr>
        <w:t xml:space="preserve"> di annunciare il kerigma nelle sue due fasi: diretto alla mente e al cuore </w:t>
      </w:r>
    </w:p>
    <w:p w:rsidR="007944CC" w:rsidRPr="00FA73B9" w:rsidRDefault="007944CC" w:rsidP="007944CC">
      <w:pPr>
        <w:spacing w:after="0" w:line="240" w:lineRule="auto"/>
        <w:rPr>
          <w:rFonts w:ascii="Times New Roman" w:eastAsia="Times New Roman" w:hAnsi="Times New Roman" w:cs="Times New Roman"/>
          <w:smallCaps/>
          <w:spacing w:val="0"/>
          <w:kern w:val="0"/>
          <w:position w:val="0"/>
          <w:sz w:val="24"/>
          <w:szCs w:val="24"/>
          <w:lang w:val="it-IT" w:eastAsia="es-ES"/>
        </w:rPr>
      </w:pPr>
    </w:p>
    <w:p w:rsidR="007944CC" w:rsidRPr="00FA73B9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9.1. Diretto all’intelligenza: la ricerca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punto di contatto antropolo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gico </w:t>
      </w:r>
    </w:p>
    <w:p w:rsidR="007944CC" w:rsidRPr="00FA73B9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9.1.1. </w:t>
      </w:r>
      <w:r w:rsidRPr="008233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Impostazione: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dialogo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>a partire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dalle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 esperienze umane fondamentali </w:t>
      </w:r>
    </w:p>
    <w:p w:rsidR="007944CC" w:rsidRPr="00FA73B9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9.1.2.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Regola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generale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>: la riconciliazione dell’io con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suoi vincoli esistenziali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Pr="00FA73B9">
        <w:rPr>
          <w:rFonts w:ascii="Times New Roman" w:hAnsi="Times New Roman" w:cs="Times New Roman"/>
          <w:b/>
          <w:sz w:val="24"/>
          <w:szCs w:val="24"/>
          <w:lang w:val="it-IT"/>
        </w:rPr>
        <w:t>Schema II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FA73B9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9.1.3.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Otto piste concrete di contatto antropologico [</w:t>
      </w:r>
      <w:r w:rsidRPr="00FA73B9">
        <w:rPr>
          <w:rFonts w:ascii="Times New Roman" w:hAnsi="Times New Roman" w:cs="Times New Roman"/>
          <w:b/>
          <w:sz w:val="24"/>
          <w:szCs w:val="24"/>
          <w:lang w:val="it-IT"/>
        </w:rPr>
        <w:t>Schema III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:rsidR="007944CC" w:rsidRPr="009B5236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>L’amore e il deside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rio di essere accettato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incondiz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>iona</w:t>
      </w:r>
      <w:r>
        <w:rPr>
          <w:rFonts w:ascii="Times New Roman" w:hAnsi="Times New Roman" w:cs="Times New Roman"/>
          <w:sz w:val="24"/>
          <w:szCs w:val="24"/>
          <w:lang w:val="it-IT"/>
        </w:rPr>
        <w:t>tamente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3C0A0D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gramStart"/>
      <w:r w:rsidRPr="003C0A0D">
        <w:rPr>
          <w:rFonts w:ascii="Times New Roman" w:hAnsi="Times New Roman" w:cs="Times New Roman"/>
          <w:sz w:val="24"/>
          <w:szCs w:val="24"/>
          <w:lang w:val="it-IT"/>
        </w:rPr>
        <w:t>La bellezza: La nostalgia d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>ll’Occidente – espressa specialmente nella letteratura, l’arte e il cine</w:t>
      </w:r>
      <w:r>
        <w:rPr>
          <w:rFonts w:ascii="Times New Roman" w:hAnsi="Times New Roman" w:cs="Times New Roman"/>
          <w:sz w:val="24"/>
          <w:szCs w:val="24"/>
          <w:lang w:val="it-IT"/>
        </w:rPr>
        <w:t>ma – interpretata come nostalgia di Dio</w:t>
      </w:r>
      <w:proofErr w:type="gramEnd"/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7944CC" w:rsidRPr="003C0A0D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Il dispiacere per la giustizia e la sofferenza di milioni </w:t>
      </w:r>
      <w:proofErr w:type="gramStart"/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Pr="003C0A0D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nocenti (il problema del male)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e la plausibilità </w:t>
      </w:r>
      <w:r>
        <w:rPr>
          <w:rFonts w:ascii="Times New Roman" w:hAnsi="Times New Roman" w:cs="Times New Roman"/>
          <w:sz w:val="24"/>
          <w:szCs w:val="24"/>
          <w:lang w:val="it-IT"/>
        </w:rPr>
        <w:t>di una giustizia universale.</w:t>
      </w:r>
    </w:p>
    <w:p w:rsidR="007944CC" w:rsidRPr="003C0A0D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ES"/>
        </w:rPr>
      </w:pP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 ricerca della verità</w:t>
      </w:r>
    </w:p>
    <w:p w:rsidR="007944CC" w:rsidRPr="00FA73B9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La difesa del carattere “</w:t>
      </w:r>
      <w:r w:rsidRPr="00565311">
        <w:rPr>
          <w:rFonts w:ascii="Times New Roman" w:hAnsi="Times New Roman" w:cs="Times New Roman"/>
          <w:i/>
          <w:sz w:val="24"/>
          <w:szCs w:val="24"/>
          <w:lang w:val="it-IT"/>
        </w:rPr>
        <w:t>umano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degli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uomini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FA73B9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La diversità di religioni: scandalo e op</w:t>
      </w:r>
      <w:r>
        <w:rPr>
          <w:rFonts w:ascii="Times New Roman" w:hAnsi="Times New Roman" w:cs="Times New Roman"/>
          <w:sz w:val="24"/>
          <w:szCs w:val="24"/>
          <w:lang w:val="it-IT"/>
        </w:rPr>
        <w:t>portunità</w:t>
      </w:r>
    </w:p>
    <w:p w:rsidR="007944CC" w:rsidRPr="00FA73B9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esiderio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immortalità </w:t>
      </w:r>
    </w:p>
    <w:p w:rsidR="007944CC" w:rsidRPr="00FA73B9" w:rsidRDefault="007944CC" w:rsidP="00794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La necessità di perdono </w:t>
      </w:r>
    </w:p>
    <w:p w:rsidR="007944CC" w:rsidRPr="00FA73B9" w:rsidRDefault="007944CC" w:rsidP="007944CC">
      <w:pPr>
        <w:spacing w:after="0" w:line="240" w:lineRule="auto"/>
        <w:ind w:left="142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7944CC" w:rsidRPr="00FA73B9" w:rsidRDefault="007944CC" w:rsidP="007944CC">
      <w:pPr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9.2. Diretto alla volontà dell’interlocutore.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Il kerigma come invito alla </w:t>
      </w:r>
      <w:r w:rsidRPr="00FA73B9">
        <w:rPr>
          <w:rFonts w:ascii="Times New Roman" w:hAnsi="Times New Roman" w:cs="Times New Roman"/>
          <w:i/>
          <w:sz w:val="24"/>
          <w:szCs w:val="24"/>
          <w:lang w:val="it-IT"/>
        </w:rPr>
        <w:t>decisione per Gesù Cristo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, qui e ora, </w:t>
      </w:r>
      <w:r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 indizi razionali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7944CC" w:rsidRPr="00FA73B9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9.3.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>intra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struttura filosofica del primo annuncio.</w:t>
      </w:r>
    </w:p>
    <w:p w:rsidR="007944CC" w:rsidRPr="00D5268D" w:rsidRDefault="007944CC" w:rsidP="007944CC">
      <w:pPr>
        <w:ind w:left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gramStart"/>
      <w:r w:rsidRPr="00D5268D">
        <w:rPr>
          <w:rFonts w:ascii="Times New Roman" w:hAnsi="Times New Roman" w:cs="Times New Roman"/>
          <w:sz w:val="24"/>
          <w:szCs w:val="24"/>
          <w:lang w:val="it-IT"/>
        </w:rPr>
        <w:t>Filosofia dell’avvenimento o dell’azione comunic</w:t>
      </w:r>
      <w:r>
        <w:rPr>
          <w:rFonts w:ascii="Times New Roman" w:hAnsi="Times New Roman" w:cs="Times New Roman"/>
          <w:sz w:val="24"/>
          <w:szCs w:val="24"/>
          <w:lang w:val="it-IT"/>
        </w:rPr>
        <w:t>ativa in tempo breve e concentrato</w:t>
      </w:r>
      <w:proofErr w:type="gramEnd"/>
      <w:r w:rsidRPr="00D5268D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9B5236" w:rsidRDefault="007944CC" w:rsidP="007944CC">
      <w:pPr>
        <w:pStyle w:val="Titolo2"/>
        <w:numPr>
          <w:ilvl w:val="0"/>
          <w:numId w:val="0"/>
        </w:numPr>
        <w:rPr>
          <w:smallCaps/>
          <w:lang w:val="it-IT"/>
        </w:rPr>
      </w:pPr>
      <w:r w:rsidRPr="009B5236">
        <w:rPr>
          <w:lang w:val="it-IT"/>
        </w:rPr>
        <w:t>10. L’efficacia del kerigma</w:t>
      </w:r>
    </w:p>
    <w:p w:rsidR="007944CC" w:rsidRPr="009B5236" w:rsidRDefault="007944CC" w:rsidP="007944C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Pr="00D5268D" w:rsidRDefault="007944CC" w:rsidP="007944C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 xml:space="preserve">10.1. </w:t>
      </w:r>
      <w:r w:rsidRPr="00FA73B9">
        <w:rPr>
          <w:rFonts w:ascii="Times New Roman" w:hAnsi="Times New Roman" w:cs="Times New Roman"/>
          <w:sz w:val="22"/>
          <w:szCs w:val="22"/>
          <w:lang w:val="it-IT"/>
        </w:rPr>
        <w:t>La sacramentalità della Parola (</w:t>
      </w:r>
      <w:r w:rsidRPr="00FA73B9">
        <w:rPr>
          <w:rFonts w:ascii="Times New Roman" w:hAnsi="Times New Roman" w:cs="Times New Roman"/>
          <w:i/>
          <w:sz w:val="22"/>
          <w:szCs w:val="22"/>
          <w:lang w:val="it-IT"/>
        </w:rPr>
        <w:t>Dei Verbum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56) e la sacramentalità iniz</w:t>
      </w:r>
      <w:r w:rsidRPr="00FA73B9">
        <w:rPr>
          <w:rFonts w:ascii="Times New Roman" w:hAnsi="Times New Roman" w:cs="Times New Roman"/>
          <w:sz w:val="22"/>
          <w:szCs w:val="22"/>
          <w:lang w:val="it-IT"/>
        </w:rPr>
        <w:t>ial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del </w:t>
      </w:r>
      <w:r w:rsidRPr="00FA73B9">
        <w:rPr>
          <w:rFonts w:ascii="Times New Roman" w:hAnsi="Times New Roman" w:cs="Times New Roman"/>
          <w:sz w:val="22"/>
          <w:szCs w:val="22"/>
          <w:lang w:val="it-IT"/>
        </w:rPr>
        <w:t xml:space="preserve">kerigma. </w:t>
      </w:r>
      <w:proofErr w:type="gramStart"/>
      <w:r w:rsidRPr="00FA73B9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l “potere spirituale” del kerigma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D5268D">
        <w:rPr>
          <w:rFonts w:ascii="Times New Roman" w:hAnsi="Times New Roman" w:cs="Times New Roman"/>
          <w:smallCaps/>
          <w:sz w:val="22"/>
          <w:szCs w:val="22"/>
          <w:lang w:val="it-IT"/>
        </w:rPr>
        <w:t>Sínodo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 xml:space="preserve"> 2012, </w:t>
      </w:r>
      <w:r w:rsidRPr="00D5268D">
        <w:rPr>
          <w:rFonts w:ascii="Times New Roman" w:hAnsi="Times New Roman" w:cs="Times New Roman"/>
          <w:i/>
          <w:sz w:val="22"/>
          <w:szCs w:val="22"/>
          <w:lang w:val="it-IT"/>
        </w:rPr>
        <w:t xml:space="preserve">Propositio, 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n. 9)</w:t>
      </w:r>
      <w:proofErr w:type="gramEnd"/>
      <w:r w:rsidRPr="00D5268D">
        <w:rPr>
          <w:rFonts w:ascii="Times New Roman" w:hAnsi="Times New Roman" w:cs="Times New Roman"/>
          <w:sz w:val="22"/>
          <w:szCs w:val="22"/>
          <w:lang w:val="it-IT"/>
        </w:rPr>
        <w:t>. I</w:t>
      </w:r>
      <w:r>
        <w:rPr>
          <w:rFonts w:ascii="Times New Roman" w:hAnsi="Times New Roman" w:cs="Times New Roman"/>
          <w:sz w:val="22"/>
          <w:szCs w:val="22"/>
          <w:lang w:val="it-IT"/>
        </w:rPr>
        <w:t>l kerigma contiene l’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z w:val="22"/>
          <w:szCs w:val="22"/>
          <w:lang w:val="it-IT"/>
        </w:rPr>
        <w:t>fficacia mi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nima nece</w:t>
      </w:r>
      <w:r>
        <w:rPr>
          <w:rFonts w:ascii="Times New Roman" w:hAnsi="Times New Roman" w:cs="Times New Roman"/>
          <w:sz w:val="22"/>
          <w:szCs w:val="22"/>
          <w:lang w:val="it-IT"/>
        </w:rPr>
        <w:t>ssaria per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 xml:space="preserve"> provocar</w:t>
      </w:r>
      <w:r>
        <w:rPr>
          <w:rFonts w:ascii="Times New Roman" w:hAnsi="Times New Roman" w:cs="Times New Roman"/>
          <w:sz w:val="22"/>
          <w:szCs w:val="22"/>
          <w:lang w:val="it-IT"/>
        </w:rPr>
        <w:t>e la prim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a fe</w:t>
      </w:r>
      <w:r>
        <w:rPr>
          <w:rFonts w:ascii="Times New Roman" w:hAnsi="Times New Roman" w:cs="Times New Roman"/>
          <w:sz w:val="22"/>
          <w:szCs w:val="22"/>
          <w:lang w:val="it-IT"/>
        </w:rPr>
        <w:t>de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7944CC" w:rsidRPr="00D5268D" w:rsidRDefault="007944CC" w:rsidP="007944CC">
      <w:pPr>
        <w:spacing w:after="0" w:line="240" w:lineRule="auto"/>
        <w:ind w:left="567" w:hanging="672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10.2. 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>Il potere spirituale del kerigma espresso nel coraggio e l’autorità esistenziale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Pr="00D5268D">
        <w:rPr>
          <w:rFonts w:ascii="Times New Roman" w:hAnsi="Times New Roman" w:cs="Times New Roman"/>
          <w:sz w:val="24"/>
          <w:szCs w:val="24"/>
          <w:lang w:val="it-IT"/>
        </w:rPr>
        <w:t>(“</w:t>
      </w:r>
      <w:r w:rsidRPr="00D5268D">
        <w:rPr>
          <w:rFonts w:ascii="Times New Roman" w:hAnsi="Times New Roman" w:cs="Times New Roman"/>
          <w:i/>
          <w:sz w:val="24"/>
          <w:szCs w:val="24"/>
          <w:lang w:val="it-IT"/>
        </w:rPr>
        <w:t>exousia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>”)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cui il cristiano lo annuncia. </w:t>
      </w:r>
    </w:p>
    <w:p w:rsidR="007944CC" w:rsidRPr="00D5268D" w:rsidRDefault="007944CC" w:rsidP="007944CC">
      <w:pPr>
        <w:spacing w:after="0" w:line="240" w:lineRule="auto"/>
        <w:ind w:left="567" w:hanging="6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10.3. 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Kerigma e liturgia: il kerigma come </w:t>
      </w:r>
      <w:proofErr w:type="gramStart"/>
      <w:r w:rsidRPr="00D5268D">
        <w:rPr>
          <w:rFonts w:ascii="Times New Roman" w:hAnsi="Times New Roman" w:cs="Times New Roman"/>
          <w:sz w:val="24"/>
          <w:szCs w:val="24"/>
          <w:lang w:val="it-IT"/>
        </w:rPr>
        <w:t>nuovo inizio</w:t>
      </w:r>
      <w:proofErr w:type="gramEnd"/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che procede dal</w:t>
      </w:r>
      <w:r>
        <w:rPr>
          <w:rFonts w:ascii="Times New Roman" w:hAnsi="Times New Roman" w:cs="Times New Roman"/>
          <w:sz w:val="24"/>
          <w:szCs w:val="24"/>
          <w:lang w:val="it-IT"/>
        </w:rPr>
        <w:t>la liturgia come “fonte” e guarda alla liturgia come pienezza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(“</w:t>
      </w:r>
      <w:r w:rsidRPr="00D5268D">
        <w:rPr>
          <w:rFonts w:ascii="Times New Roman" w:hAnsi="Times New Roman" w:cs="Times New Roman"/>
          <w:i/>
          <w:sz w:val="24"/>
          <w:szCs w:val="24"/>
          <w:lang w:val="it-IT"/>
        </w:rPr>
        <w:t>culmen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”). </w:t>
      </w:r>
    </w:p>
    <w:p w:rsidR="007944CC" w:rsidRPr="00D5268D" w:rsidRDefault="007944CC" w:rsidP="007944CC">
      <w:pPr>
        <w:spacing w:after="0" w:line="240" w:lineRule="auto"/>
        <w:ind w:left="567" w:hanging="672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7944CC" w:rsidRPr="003C0A0D" w:rsidRDefault="007944CC" w:rsidP="007944CC">
      <w:pPr>
        <w:pStyle w:val="Titolo2"/>
        <w:numPr>
          <w:ilvl w:val="0"/>
          <w:numId w:val="0"/>
        </w:numPr>
        <w:spacing w:before="0"/>
        <w:ind w:left="357" w:hanging="357"/>
        <w:rPr>
          <w:lang w:val="it-IT"/>
        </w:rPr>
      </w:pPr>
      <w:r w:rsidRPr="003C0A0D">
        <w:rPr>
          <w:lang w:val="it-IT"/>
        </w:rPr>
        <w:t>11. La ricezione del kerigma: primo atto di f</w:t>
      </w:r>
      <w:r>
        <w:rPr>
          <w:lang w:val="it-IT"/>
        </w:rPr>
        <w:t xml:space="preserve">ede, </w:t>
      </w:r>
      <w:proofErr w:type="gramStart"/>
      <w:r>
        <w:rPr>
          <w:lang w:val="it-IT"/>
        </w:rPr>
        <w:t>prima</w:t>
      </w:r>
      <w:proofErr w:type="gramEnd"/>
      <w:r>
        <w:rPr>
          <w:lang w:val="it-IT"/>
        </w:rPr>
        <w:t xml:space="preserve"> conversione, prima es</w:t>
      </w:r>
      <w:r w:rsidRPr="003C0A0D">
        <w:rPr>
          <w:lang w:val="it-IT"/>
        </w:rPr>
        <w:t>pe</w:t>
      </w:r>
      <w:r>
        <w:rPr>
          <w:lang w:val="it-IT"/>
        </w:rPr>
        <w:t>rienza germinale della salvezza</w:t>
      </w:r>
    </w:p>
    <w:p w:rsidR="007944CC" w:rsidRPr="003C0A0D" w:rsidRDefault="007944CC" w:rsidP="007944CC">
      <w:pPr>
        <w:spacing w:after="0"/>
        <w:rPr>
          <w:lang w:val="it-IT"/>
        </w:rPr>
      </w:pPr>
    </w:p>
    <w:p w:rsidR="007944CC" w:rsidRPr="003C0A0D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>11.1.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L’atto di fede come </w:t>
      </w:r>
      <w:proofErr w:type="gramStart"/>
      <w:r w:rsidRPr="003C0A0D">
        <w:rPr>
          <w:rFonts w:ascii="Times New Roman" w:hAnsi="Times New Roman" w:cs="Times New Roman"/>
          <w:sz w:val="22"/>
          <w:szCs w:val="22"/>
          <w:lang w:val="it-IT"/>
        </w:rPr>
        <w:t>atto</w:t>
      </w:r>
      <w:proofErr w:type="gramEnd"/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i/>
          <w:sz w:val="22"/>
          <w:szCs w:val="22"/>
          <w:lang w:val="it-IT"/>
        </w:rPr>
        <w:t>sintetico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(Blondel). </w:t>
      </w:r>
    </w:p>
    <w:p w:rsidR="007944CC" w:rsidRPr="009B5236" w:rsidRDefault="007944CC" w:rsidP="007944CC">
      <w:pPr>
        <w:pStyle w:val="Paragrafoelenco"/>
        <w:numPr>
          <w:ilvl w:val="0"/>
          <w:numId w:val="3"/>
        </w:numPr>
        <w:ind w:left="1554"/>
        <w:rPr>
          <w:lang w:val="it-IT"/>
        </w:rPr>
      </w:pPr>
      <w:r w:rsidRPr="009B5236">
        <w:rPr>
          <w:lang w:val="it-IT"/>
        </w:rPr>
        <w:t xml:space="preserve">La “fides qua”: la </w:t>
      </w:r>
      <w:r w:rsidRPr="009B5236">
        <w:rPr>
          <w:i/>
          <w:lang w:val="it-IT"/>
        </w:rPr>
        <w:t xml:space="preserve">conversione </w:t>
      </w:r>
      <w:r w:rsidRPr="009B5236">
        <w:rPr>
          <w:lang w:val="it-IT"/>
        </w:rPr>
        <w:t xml:space="preserve">come fede-fiducia in Gesù Cristo </w:t>
      </w:r>
    </w:p>
    <w:p w:rsidR="007944CC" w:rsidRPr="009B5236" w:rsidRDefault="007944CC" w:rsidP="007944CC">
      <w:pPr>
        <w:pStyle w:val="Paragrafoelenco"/>
        <w:numPr>
          <w:ilvl w:val="0"/>
          <w:numId w:val="3"/>
        </w:numPr>
        <w:ind w:left="1554"/>
        <w:rPr>
          <w:lang w:val="it-IT"/>
        </w:rPr>
      </w:pPr>
      <w:r w:rsidRPr="009B5236">
        <w:rPr>
          <w:lang w:val="it-IT"/>
        </w:rPr>
        <w:t>La</w:t>
      </w:r>
      <w:r>
        <w:rPr>
          <w:lang w:val="it-IT"/>
        </w:rPr>
        <w:t xml:space="preserve"> </w:t>
      </w:r>
      <w:r w:rsidRPr="009B5236">
        <w:rPr>
          <w:lang w:val="it-IT"/>
        </w:rPr>
        <w:t>“fides quae”: la fede</w:t>
      </w:r>
      <w:r>
        <w:rPr>
          <w:lang w:val="it-IT"/>
        </w:rPr>
        <w:t>-assenso</w:t>
      </w:r>
      <w:r w:rsidRPr="009B5236">
        <w:rPr>
          <w:color w:val="FF0000"/>
          <w:lang w:val="it-IT"/>
        </w:rPr>
        <w:t xml:space="preserve"> </w:t>
      </w:r>
      <w:r w:rsidRPr="009B5236">
        <w:rPr>
          <w:lang w:val="it-IT"/>
        </w:rPr>
        <w:t xml:space="preserve">intellettuale dottrinale </w:t>
      </w:r>
    </w:p>
    <w:p w:rsidR="007944CC" w:rsidRPr="003C0A0D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>11.2.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 w:rsidRPr="003C0A0D">
        <w:rPr>
          <w:rFonts w:ascii="Times New Roman" w:hAnsi="Times New Roman" w:cs="Times New Roman"/>
          <w:i/>
          <w:sz w:val="22"/>
          <w:szCs w:val="22"/>
          <w:lang w:val="it-IT"/>
        </w:rPr>
        <w:t xml:space="preserve">salvezza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>effettiva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>veicolata germinalmente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nell’accettazione del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kerigma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7944CC" w:rsidRPr="003C0A0D" w:rsidRDefault="007944CC" w:rsidP="007944CC">
      <w:p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>11.2.1.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La possibilità di essere </w:t>
      </w:r>
      <w:r w:rsidRPr="003C0A0D">
        <w:rPr>
          <w:rFonts w:ascii="Times New Roman" w:hAnsi="Times New Roman" w:cs="Times New Roman"/>
          <w:i/>
          <w:sz w:val="22"/>
          <w:szCs w:val="22"/>
          <w:lang w:val="it-IT"/>
        </w:rPr>
        <w:t xml:space="preserve">integralmente uno stesso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– anima e corpo, </w:t>
      </w:r>
      <w:proofErr w:type="gramStart"/>
      <w:r w:rsidRPr="003C0A0D">
        <w:rPr>
          <w:rFonts w:ascii="Times New Roman" w:hAnsi="Times New Roman" w:cs="Times New Roman"/>
          <w:sz w:val="22"/>
          <w:szCs w:val="22"/>
          <w:lang w:val="it-IT"/>
        </w:rPr>
        <w:t>ora e sempre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7944CC" w:rsidRPr="003C0A0D" w:rsidRDefault="007944CC" w:rsidP="007944CC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11.2.2.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3C0A0D">
        <w:rPr>
          <w:rFonts w:ascii="Times New Roman" w:hAnsi="Times New Roman" w:cs="Times New Roman"/>
          <w:i/>
          <w:sz w:val="24"/>
          <w:szCs w:val="24"/>
          <w:lang w:val="it-IT"/>
        </w:rPr>
        <w:t xml:space="preserve">riconciliazione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>con Dio come perdono ricevuto gratuitamente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3C0A0D" w:rsidRDefault="007944CC" w:rsidP="007944CC">
      <w:pPr>
        <w:spacing w:after="0"/>
        <w:ind w:left="709" w:hanging="709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11.2.3.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L’apertura di un orizzonte reale di </w:t>
      </w:r>
      <w:r w:rsidRPr="003C0A0D">
        <w:rPr>
          <w:rFonts w:ascii="Times New Roman" w:hAnsi="Times New Roman" w:cs="Times New Roman"/>
          <w:i/>
          <w:sz w:val="24"/>
          <w:szCs w:val="24"/>
          <w:lang w:val="it-IT"/>
        </w:rPr>
        <w:t>speranza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per la prop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>ia esistenza personale e per tutta l’umanità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3C0A0D" w:rsidRDefault="007944CC" w:rsidP="007944CC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C0A0D">
        <w:rPr>
          <w:rFonts w:ascii="Times New Roman" w:hAnsi="Times New Roman" w:cs="Times New Roman"/>
          <w:sz w:val="22"/>
          <w:szCs w:val="22"/>
          <w:lang w:val="it-IT"/>
        </w:rPr>
        <w:t>11.3. Carattere drammatico e agonico dell’annuncio-ricezione del kerigma.</w:t>
      </w:r>
    </w:p>
    <w:p w:rsidR="007944CC" w:rsidRPr="00EF124C" w:rsidRDefault="007944CC" w:rsidP="007944CC">
      <w:pPr>
        <w:pStyle w:val="Titolo2"/>
        <w:numPr>
          <w:ilvl w:val="0"/>
          <w:numId w:val="0"/>
        </w:numPr>
        <w:spacing w:before="0"/>
        <w:rPr>
          <w:lang w:val="it-IT"/>
        </w:rPr>
      </w:pPr>
      <w:r w:rsidRPr="00EF124C">
        <w:rPr>
          <w:lang w:val="it-IT"/>
        </w:rPr>
        <w:t xml:space="preserve">12. La necessità di ritornare ad annunciare il kerigma ai cattolici </w:t>
      </w:r>
      <w:r>
        <w:rPr>
          <w:lang w:val="it-IT"/>
        </w:rPr>
        <w:t xml:space="preserve">per </w:t>
      </w:r>
      <w:r w:rsidRPr="00EF124C">
        <w:rPr>
          <w:lang w:val="it-IT"/>
        </w:rPr>
        <w:t xml:space="preserve">tutta la vita </w:t>
      </w:r>
    </w:p>
    <w:p w:rsidR="007944CC" w:rsidRPr="003C0A0D" w:rsidRDefault="007944CC" w:rsidP="007944CC">
      <w:pPr>
        <w:spacing w:after="0"/>
        <w:rPr>
          <w:lang w:val="it-IT"/>
        </w:rPr>
      </w:pPr>
    </w:p>
    <w:p w:rsidR="007944CC" w:rsidRPr="00EF124C" w:rsidRDefault="007944CC" w:rsidP="007944CC">
      <w:pPr>
        <w:spacing w:after="0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F124C">
        <w:rPr>
          <w:rFonts w:ascii="Times New Roman" w:hAnsi="Times New Roman" w:cs="Times New Roman"/>
          <w:sz w:val="22"/>
          <w:szCs w:val="22"/>
          <w:lang w:val="it-IT"/>
        </w:rPr>
        <w:t>Il kerigma non è</w:t>
      </w:r>
      <w:r w:rsidRPr="00EF124C">
        <w:rPr>
          <w:rFonts w:ascii="Times New Roman" w:hAnsi="Times New Roman" w:cs="Times New Roman"/>
          <w:i/>
          <w:sz w:val="22"/>
          <w:szCs w:val="22"/>
          <w:lang w:val="it-IT"/>
        </w:rPr>
        <w:t xml:space="preserve"> solo</w:t>
      </w:r>
      <w:r w:rsidRPr="00EF124C">
        <w:rPr>
          <w:rFonts w:ascii="Times New Roman" w:hAnsi="Times New Roman" w:cs="Times New Roman"/>
          <w:sz w:val="22"/>
          <w:szCs w:val="22"/>
          <w:lang w:val="it-IT"/>
        </w:rPr>
        <w:t xml:space="preserve"> per i non credenti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né </w:t>
      </w:r>
      <w:r w:rsidRPr="00EF124C">
        <w:rPr>
          <w:rFonts w:ascii="Times New Roman" w:hAnsi="Times New Roman" w:cs="Times New Roman"/>
          <w:i/>
          <w:sz w:val="22"/>
          <w:szCs w:val="22"/>
          <w:lang w:val="it-IT"/>
        </w:rPr>
        <w:t>solo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per la missione verso l’esterno; i credenti “di sempre” hanno bisogno di riceverlo in forma rinnovata, e in modo speciale in questo momento di necessaria auto-evangelizzazione come passo previo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alla 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>evangelizzazione verso l’esterno.</w:t>
      </w:r>
      <w:r w:rsidRPr="0062299C">
        <w:rPr>
          <w:rStyle w:val="Rimandonotaapidipagina"/>
          <w:rFonts w:ascii="Times New Roman" w:hAnsi="Times New Roman"/>
          <w:sz w:val="22"/>
          <w:szCs w:val="22"/>
          <w:lang w:val="es-ES"/>
        </w:rPr>
        <w:footnoteReference w:id="5"/>
      </w:r>
    </w:p>
    <w:p w:rsidR="007944CC" w:rsidRPr="00EF124C" w:rsidRDefault="007944CC" w:rsidP="007944CC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EF124C">
        <w:rPr>
          <w:lang w:val="it-IT"/>
        </w:rPr>
        <w:t xml:space="preserve">13. I nuovi </w:t>
      </w:r>
      <w:r>
        <w:rPr>
          <w:lang w:val="it-IT"/>
        </w:rPr>
        <w:t>protagonisti</w:t>
      </w:r>
      <w:r w:rsidRPr="00EF124C">
        <w:rPr>
          <w:lang w:val="it-IT"/>
        </w:rPr>
        <w:t xml:space="preserve"> del kerigma: i laici </w:t>
      </w:r>
    </w:p>
    <w:p w:rsidR="007944CC" w:rsidRPr="00EF124C" w:rsidRDefault="007944CC" w:rsidP="007944CC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EF124C" w:rsidRDefault="007944CC" w:rsidP="007944CC">
      <w:pPr>
        <w:spacing w:after="0"/>
        <w:ind w:left="1134" w:hanging="1134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EF124C">
        <w:rPr>
          <w:rFonts w:ascii="Times New Roman" w:hAnsi="Times New Roman" w:cs="Times New Roman"/>
          <w:sz w:val="24"/>
          <w:szCs w:val="24"/>
          <w:lang w:val="it-IT"/>
        </w:rPr>
        <w:t>13.1.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cerdozio ministeriale 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sacerdoz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io</w:t>
      </w:r>
      <w:proofErr w:type="gramEnd"/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comune dei fedeli laici: corresponsabilità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44CC" w:rsidRPr="00EF124C" w:rsidRDefault="007944CC" w:rsidP="00794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13.2.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Il profetismo laicale con l’azione e </w:t>
      </w:r>
      <w:r w:rsidRPr="00EF124C">
        <w:rPr>
          <w:rFonts w:ascii="Times New Roman" w:hAnsi="Times New Roman" w:cs="Times New Roman"/>
          <w:i/>
          <w:sz w:val="24"/>
          <w:szCs w:val="24"/>
          <w:lang w:val="it-IT"/>
        </w:rPr>
        <w:t>anche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con la parola: dialogo e annuncio</w:t>
      </w:r>
    </w:p>
    <w:p w:rsidR="007944CC" w:rsidRPr="00EF124C" w:rsidRDefault="007944CC" w:rsidP="007944CC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13.3.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Il laico come catechista accompagnante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processi di (re-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iniziazione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cristiana</w:t>
      </w:r>
    </w:p>
    <w:p w:rsidR="007944CC" w:rsidRPr="00EF124C" w:rsidRDefault="007944CC" w:rsidP="007944CC">
      <w:pPr>
        <w:ind w:left="-709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F12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7944CC" w:rsidRPr="00EF124C" w:rsidRDefault="007944CC" w:rsidP="007944CC">
      <w:pPr>
        <w:ind w:left="-709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944CC" w:rsidRPr="00EF124C" w:rsidRDefault="007944CC" w:rsidP="007944CC">
      <w:pPr>
        <w:rPr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7944CC" w:rsidRDefault="007944CC" w:rsidP="007944C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:rsidR="005C0E1B" w:rsidRDefault="005C0E1B"/>
    <w:sectPr w:rsidR="005C0E1B" w:rsidSect="00287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CC" w:rsidRDefault="007944CC" w:rsidP="007944CC">
      <w:pPr>
        <w:spacing w:after="0" w:line="240" w:lineRule="auto"/>
      </w:pPr>
      <w:r>
        <w:separator/>
      </w:r>
    </w:p>
  </w:endnote>
  <w:endnote w:type="continuationSeparator" w:id="0">
    <w:p w:rsidR="007944CC" w:rsidRDefault="007944CC" w:rsidP="0079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CC" w:rsidRDefault="007944CC" w:rsidP="007944CC">
      <w:pPr>
        <w:spacing w:after="0" w:line="240" w:lineRule="auto"/>
      </w:pPr>
      <w:r>
        <w:separator/>
      </w:r>
    </w:p>
  </w:footnote>
  <w:footnote w:type="continuationSeparator" w:id="0">
    <w:p w:rsidR="007944CC" w:rsidRDefault="007944CC" w:rsidP="007944CC">
      <w:pPr>
        <w:spacing w:after="0" w:line="240" w:lineRule="auto"/>
      </w:pPr>
      <w:r>
        <w:continuationSeparator/>
      </w:r>
    </w:p>
  </w:footnote>
  <w:footnote w:id="1">
    <w:p w:rsidR="007944CC" w:rsidRPr="004E2B7B" w:rsidRDefault="007944CC" w:rsidP="007944CC">
      <w:pPr>
        <w:pStyle w:val="Testonotaapidipagina"/>
        <w:jc w:val="both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9B5236">
        <w:rPr>
          <w:lang w:val="it-IT"/>
        </w:rPr>
        <w:t xml:space="preserve"> </w:t>
      </w:r>
      <w:r w:rsidRPr="009B5236">
        <w:rPr>
          <w:rFonts w:ascii="Times New Roman" w:hAnsi="Times New Roman"/>
          <w:lang w:val="it-IT"/>
        </w:rPr>
        <w:t xml:space="preserve">Gesù Cristo come soggetto del kerigma: “Il compito della Chiesa consiste quindi nel realizzare la </w:t>
      </w:r>
      <w:r w:rsidRPr="009B5236">
        <w:rPr>
          <w:rFonts w:ascii="Times New Roman" w:hAnsi="Times New Roman"/>
          <w:i/>
          <w:iCs/>
          <w:lang w:val="it-IT"/>
        </w:rPr>
        <w:t>traditio Evangelii</w:t>
      </w:r>
      <w:r w:rsidRPr="009B5236">
        <w:rPr>
          <w:rFonts w:ascii="Times New Roman" w:hAnsi="Times New Roman"/>
          <w:lang w:val="it-IT"/>
        </w:rPr>
        <w:t>, l’annuncio e la trasmissione del Vangelo, che è «potenza di Dio per la salvezza di chiunque crede» (</w:t>
      </w:r>
      <w:r w:rsidRPr="009B5236">
        <w:rPr>
          <w:rFonts w:ascii="Times New Roman" w:hAnsi="Times New Roman"/>
          <w:i/>
          <w:iCs/>
          <w:lang w:val="it-IT"/>
        </w:rPr>
        <w:t>Rm</w:t>
      </w:r>
      <w:r w:rsidRPr="009B5236">
        <w:rPr>
          <w:rFonts w:ascii="Times New Roman" w:hAnsi="Times New Roman"/>
          <w:lang w:val="it-IT"/>
        </w:rPr>
        <w:t xml:space="preserve"> 1,16) e che in ultima </w:t>
      </w:r>
      <w:proofErr w:type="gramStart"/>
      <w:r w:rsidRPr="009B5236">
        <w:rPr>
          <w:rFonts w:ascii="Times New Roman" w:hAnsi="Times New Roman"/>
          <w:lang w:val="it-IT"/>
        </w:rPr>
        <w:t>istanza</w:t>
      </w:r>
      <w:proofErr w:type="gramEnd"/>
      <w:r w:rsidRPr="009B5236">
        <w:rPr>
          <w:rFonts w:ascii="Times New Roman" w:hAnsi="Times New Roman"/>
          <w:lang w:val="it-IT"/>
        </w:rPr>
        <w:t xml:space="preserve"> si identifica con Gesù Cristo (cf. </w:t>
      </w:r>
      <w:r w:rsidRPr="009B5236">
        <w:rPr>
          <w:rFonts w:ascii="Times New Roman" w:hAnsi="Times New Roman"/>
          <w:i/>
          <w:iCs/>
          <w:lang w:val="it-IT"/>
        </w:rPr>
        <w:t>1</w:t>
      </w:r>
      <w:r>
        <w:rPr>
          <w:rFonts w:ascii="Times New Roman" w:hAnsi="Times New Roman"/>
          <w:i/>
          <w:iCs/>
          <w:lang w:val="it-IT"/>
        </w:rPr>
        <w:t xml:space="preserve"> </w:t>
      </w:r>
      <w:r w:rsidRPr="009B5236">
        <w:rPr>
          <w:rFonts w:ascii="Times New Roman" w:hAnsi="Times New Roman"/>
          <w:i/>
          <w:iCs/>
          <w:lang w:val="it-IT"/>
        </w:rPr>
        <w:t>Cor</w:t>
      </w:r>
      <w:r>
        <w:rPr>
          <w:rFonts w:ascii="Times New Roman" w:hAnsi="Times New Roman"/>
          <w:lang w:val="it-IT"/>
        </w:rPr>
        <w:t xml:space="preserve"> 1,24)</w:t>
      </w:r>
      <w:r w:rsidRPr="009B5236">
        <w:rPr>
          <w:rFonts w:ascii="Times New Roman" w:hAnsi="Times New Roman"/>
          <w:lang w:val="it-IT"/>
        </w:rPr>
        <w:t xml:space="preserve"> (</w:t>
      </w:r>
      <w:r w:rsidRPr="009B5236">
        <w:rPr>
          <w:rFonts w:ascii="Times New Roman" w:hAnsi="Times New Roman"/>
          <w:i/>
          <w:lang w:val="it-IT"/>
        </w:rPr>
        <w:t>Instrumentum Laboris,</w:t>
      </w:r>
      <w:r w:rsidRPr="009B5236">
        <w:rPr>
          <w:rFonts w:ascii="Times New Roman" w:hAnsi="Times New Roman"/>
          <w:lang w:val="it-IT"/>
        </w:rPr>
        <w:t xml:space="preserve"> Sínodo 2012, n.26</w:t>
      </w:r>
      <w:r>
        <w:rPr>
          <w:rFonts w:ascii="Times New Roman" w:hAnsi="Times New Roman"/>
          <w:lang w:val="it-IT"/>
        </w:rPr>
        <w:t xml:space="preserve">). </w:t>
      </w:r>
      <w:proofErr w:type="gramStart"/>
      <w:r>
        <w:rPr>
          <w:rFonts w:ascii="Times New Roman" w:hAnsi="Times New Roman"/>
          <w:lang w:val="it-IT"/>
        </w:rPr>
        <w:t>“Il Vangelo è Vangelo di Gesù Cristo: non ha come contenuto solo Gesù Cristo</w:t>
      </w:r>
      <w:proofErr w:type="gramEnd"/>
      <w:r>
        <w:rPr>
          <w:rFonts w:ascii="Times New Roman" w:hAnsi="Times New Roman"/>
          <w:lang w:val="it-IT"/>
        </w:rPr>
        <w:t xml:space="preserve">. Ha molto di più, attraverso lo Spirito Santo, esso è il promotore e il soggetto primario del Suo annuncio, della trasmissione del Suo </w:t>
      </w:r>
      <w:r w:rsidRPr="00230093">
        <w:rPr>
          <w:rFonts w:ascii="Times New Roman" w:hAnsi="Times New Roman"/>
          <w:lang w:val="it-IT"/>
        </w:rPr>
        <w:t>messaggio.</w:t>
      </w:r>
      <w:r>
        <w:rPr>
          <w:rFonts w:ascii="Times New Roman" w:hAnsi="Times New Roman"/>
          <w:color w:val="FF0000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L’obiettivo della trasmissione della fede è realizzare, </w:t>
      </w:r>
      <w:r w:rsidRPr="00230093">
        <w:rPr>
          <w:rFonts w:ascii="Times New Roman" w:hAnsi="Times New Roman"/>
          <w:lang w:val="it-IT"/>
        </w:rPr>
        <w:t>nel credente</w:t>
      </w:r>
      <w:r>
        <w:rPr>
          <w:rFonts w:ascii="Times New Roman" w:hAnsi="Times New Roman"/>
          <w:lang w:val="it-IT"/>
        </w:rPr>
        <w:t xml:space="preserve">, </w:t>
      </w:r>
      <w:proofErr w:type="gramStart"/>
      <w:r>
        <w:rPr>
          <w:rFonts w:ascii="Times New Roman" w:hAnsi="Times New Roman"/>
          <w:lang w:val="it-IT"/>
        </w:rPr>
        <w:t xml:space="preserve">l’ </w:t>
      </w:r>
      <w:proofErr w:type="gramEnd"/>
      <w:r>
        <w:rPr>
          <w:rFonts w:ascii="Times New Roman" w:hAnsi="Times New Roman"/>
          <w:lang w:val="it-IT"/>
        </w:rPr>
        <w:t xml:space="preserve">incontro con Gesù Cristo, nello Spirito, per giungere a vivere la Sua esperienza nella propria vita (Cf. Congregazione per la Dottrina della Fede, </w:t>
      </w:r>
      <w:r w:rsidRPr="009B5236">
        <w:rPr>
          <w:rFonts w:ascii="Times New Roman" w:hAnsi="Times New Roman"/>
          <w:i/>
          <w:lang w:val="it-IT"/>
        </w:rPr>
        <w:t>Nota dottrinale su alcuni aspetti della evangelizzazione</w:t>
      </w:r>
      <w:r>
        <w:rPr>
          <w:rFonts w:ascii="Times New Roman" w:hAnsi="Times New Roman"/>
          <w:i/>
          <w:lang w:val="it-IT"/>
        </w:rPr>
        <w:t xml:space="preserve"> </w:t>
      </w:r>
      <w:r>
        <w:rPr>
          <w:rFonts w:ascii="Times New Roman" w:hAnsi="Times New Roman"/>
          <w:lang w:val="ca-ES"/>
        </w:rPr>
        <w:t>(3 dic</w:t>
      </w:r>
      <w:r w:rsidRPr="00DF1778">
        <w:rPr>
          <w:rFonts w:ascii="Times New Roman" w:hAnsi="Times New Roman"/>
          <w:lang w:val="ca-ES"/>
        </w:rPr>
        <w:t xml:space="preserve">embre 2007) 2: </w:t>
      </w:r>
      <w:r w:rsidRPr="00DF1778">
        <w:rPr>
          <w:rFonts w:ascii="Times New Roman" w:hAnsi="Times New Roman"/>
          <w:i/>
          <w:lang w:val="ca-ES"/>
        </w:rPr>
        <w:t>AAS</w:t>
      </w:r>
      <w:r w:rsidRPr="00DF1778">
        <w:rPr>
          <w:rFonts w:ascii="Times New Roman" w:hAnsi="Times New Roman"/>
          <w:lang w:val="ca-ES"/>
        </w:rPr>
        <w:t xml:space="preserve"> 100 (2008) 490)”</w:t>
      </w:r>
      <w:r>
        <w:rPr>
          <w:rFonts w:ascii="Times New Roman" w:hAnsi="Times New Roman"/>
          <w:lang w:val="ca-ES"/>
        </w:rPr>
        <w:t xml:space="preserve"> (Cf. </w:t>
      </w:r>
      <w:r w:rsidRPr="004E2B7B">
        <w:rPr>
          <w:rFonts w:ascii="Times New Roman" w:hAnsi="Times New Roman"/>
          <w:i/>
          <w:lang w:val="it-IT"/>
        </w:rPr>
        <w:t xml:space="preserve">Lineamenta </w:t>
      </w:r>
      <w:r w:rsidRPr="004E2B7B">
        <w:rPr>
          <w:rFonts w:ascii="Times New Roman" w:hAnsi="Times New Roman"/>
          <w:lang w:val="it-IT"/>
        </w:rPr>
        <w:t>(2011),</w:t>
      </w:r>
      <w:r w:rsidRPr="004E2B7B">
        <w:rPr>
          <w:rFonts w:ascii="Times New Roman" w:hAnsi="Times New Roman"/>
          <w:i/>
          <w:lang w:val="it-IT"/>
        </w:rPr>
        <w:t xml:space="preserve"> </w:t>
      </w:r>
      <w:r>
        <w:rPr>
          <w:rFonts w:ascii="Times New Roman" w:hAnsi="Times New Roman"/>
          <w:lang w:val="it-IT"/>
        </w:rPr>
        <w:t>Si</w:t>
      </w:r>
      <w:r w:rsidRPr="004E2B7B">
        <w:rPr>
          <w:rFonts w:ascii="Times New Roman" w:hAnsi="Times New Roman"/>
          <w:lang w:val="it-IT"/>
        </w:rPr>
        <w:t>nodo 2012,</w:t>
      </w:r>
      <w:r>
        <w:rPr>
          <w:rFonts w:ascii="Times New Roman" w:hAnsi="Times New Roman"/>
          <w:lang w:val="it-IT"/>
        </w:rPr>
        <w:t xml:space="preserve"> </w:t>
      </w:r>
      <w:r w:rsidRPr="004E2B7B">
        <w:rPr>
          <w:rFonts w:ascii="Times New Roman" w:hAnsi="Times New Roman"/>
          <w:lang w:val="it-IT"/>
        </w:rPr>
        <w:t>n. 11).</w:t>
      </w:r>
      <w:r>
        <w:rPr>
          <w:rFonts w:ascii="Times New Roman" w:hAnsi="Times New Roman"/>
          <w:lang w:val="it-IT"/>
        </w:rPr>
        <w:t xml:space="preserve"> È un peccato che questi testi così cristocentrici dei </w:t>
      </w:r>
      <w:r w:rsidRPr="004E2B7B">
        <w:rPr>
          <w:rFonts w:ascii="Times New Roman" w:hAnsi="Times New Roman"/>
          <w:i/>
          <w:lang w:val="it-IT"/>
        </w:rPr>
        <w:t>Lineamenta</w:t>
      </w:r>
      <w:r>
        <w:rPr>
          <w:rFonts w:ascii="Times New Roman" w:hAnsi="Times New Roman"/>
          <w:lang w:val="it-IT"/>
        </w:rPr>
        <w:t xml:space="preserve"> e</w:t>
      </w:r>
      <w:r w:rsidRPr="004E2B7B">
        <w:rPr>
          <w:rFonts w:ascii="Times New Roman" w:hAnsi="Times New Roman"/>
          <w:lang w:val="it-IT"/>
        </w:rPr>
        <w:t xml:space="preserve"> del</w:t>
      </w:r>
      <w:r>
        <w:rPr>
          <w:rFonts w:ascii="Times New Roman" w:hAnsi="Times New Roman"/>
          <w:lang w:val="it-IT"/>
        </w:rPr>
        <w:t>l’</w:t>
      </w:r>
      <w:r w:rsidRPr="004E2B7B">
        <w:rPr>
          <w:rFonts w:ascii="Times New Roman" w:hAnsi="Times New Roman"/>
          <w:i/>
          <w:lang w:val="it-IT"/>
        </w:rPr>
        <w:t>Instrumentum Laboris</w:t>
      </w:r>
      <w:r>
        <w:rPr>
          <w:rFonts w:ascii="Times New Roman" w:hAnsi="Times New Roman"/>
          <w:i/>
          <w:lang w:val="it-IT"/>
        </w:rPr>
        <w:t xml:space="preserve"> </w:t>
      </w:r>
      <w:r w:rsidRPr="004E2B7B">
        <w:rPr>
          <w:rFonts w:ascii="Times New Roman" w:hAnsi="Times New Roman"/>
          <w:lang w:val="it-IT"/>
        </w:rPr>
        <w:t>non</w:t>
      </w:r>
      <w:r>
        <w:rPr>
          <w:rFonts w:ascii="Times New Roman" w:hAnsi="Times New Roman"/>
          <w:lang w:val="it-IT"/>
        </w:rPr>
        <w:t xml:space="preserve"> appaiano nelle </w:t>
      </w:r>
      <w:r w:rsidRPr="004E2B7B">
        <w:rPr>
          <w:rFonts w:ascii="Times New Roman" w:hAnsi="Times New Roman"/>
          <w:i/>
          <w:lang w:val="it-IT"/>
        </w:rPr>
        <w:t>Propositiones</w:t>
      </w:r>
      <w:r>
        <w:rPr>
          <w:rFonts w:ascii="Times New Roman" w:hAnsi="Times New Roman"/>
          <w:lang w:val="it-IT"/>
        </w:rPr>
        <w:t xml:space="preserve"> finali del Sinodo dei Vescovi </w:t>
      </w:r>
      <w:proofErr w:type="gramStart"/>
      <w:r>
        <w:rPr>
          <w:rFonts w:ascii="Times New Roman" w:hAnsi="Times New Roman"/>
          <w:lang w:val="it-IT"/>
        </w:rPr>
        <w:t>del</w:t>
      </w:r>
      <w:proofErr w:type="gramEnd"/>
      <w:r>
        <w:rPr>
          <w:rFonts w:ascii="Times New Roman" w:hAnsi="Times New Roman"/>
          <w:lang w:val="it-IT"/>
        </w:rPr>
        <w:t xml:space="preserve"> 2012.</w:t>
      </w:r>
      <w:r w:rsidRPr="004E2B7B">
        <w:rPr>
          <w:rFonts w:ascii="Times New Roman" w:hAnsi="Times New Roman"/>
          <w:lang w:val="it-IT"/>
        </w:rPr>
        <w:t xml:space="preserve"> </w:t>
      </w:r>
    </w:p>
  </w:footnote>
  <w:footnote w:id="2">
    <w:p w:rsidR="007944CC" w:rsidRPr="003940CB" w:rsidRDefault="007944CC" w:rsidP="007944CC">
      <w:pPr>
        <w:pStyle w:val="Testonotaapidipagina"/>
        <w:jc w:val="both"/>
        <w:rPr>
          <w:rFonts w:ascii="Times New Roman" w:hAnsi="Times New Roman"/>
          <w:lang w:val="it-IT"/>
        </w:rPr>
      </w:pPr>
      <w:r w:rsidRPr="0087633A">
        <w:rPr>
          <w:rStyle w:val="Rimandonotaapidipagina"/>
          <w:rFonts w:cs="Arial"/>
        </w:rPr>
        <w:footnoteRef/>
      </w:r>
      <w:r w:rsidRPr="00D5268D">
        <w:rPr>
          <w:rFonts w:ascii="Times New Roman" w:hAnsi="Times New Roman"/>
          <w:lang w:val="en-US"/>
        </w:rPr>
        <w:t xml:space="preserve"> Cf.</w:t>
      </w:r>
      <w:r w:rsidRPr="00D5268D">
        <w:rPr>
          <w:rFonts w:ascii="Times New Roman" w:hAnsi="Times New Roman"/>
          <w:sz w:val="24"/>
          <w:lang w:val="en-US"/>
        </w:rPr>
        <w:t xml:space="preserve"> </w:t>
      </w:r>
      <w:r w:rsidRPr="00D5268D">
        <w:rPr>
          <w:rFonts w:ascii="Times New Roman" w:hAnsi="Times New Roman"/>
          <w:lang w:val="en-US"/>
        </w:rPr>
        <w:t xml:space="preserve">K. </w:t>
      </w:r>
      <w:r w:rsidRPr="00D5268D">
        <w:rPr>
          <w:rFonts w:ascii="Times New Roman" w:hAnsi="Times New Roman"/>
          <w:smallCaps/>
          <w:lang w:val="en-US"/>
        </w:rPr>
        <w:t>R</w:t>
      </w:r>
      <w:r>
        <w:rPr>
          <w:rFonts w:ascii="Times New Roman" w:hAnsi="Times New Roman"/>
          <w:smallCaps/>
          <w:lang w:val="en-US"/>
        </w:rPr>
        <w:t>ahner</w:t>
      </w:r>
      <w:r w:rsidRPr="00D5268D">
        <w:rPr>
          <w:rFonts w:ascii="Times New Roman" w:hAnsi="Times New Roman"/>
          <w:smallCaps/>
          <w:lang w:val="en-US"/>
        </w:rPr>
        <w:t>- K. L</w:t>
      </w:r>
      <w:r>
        <w:rPr>
          <w:rFonts w:ascii="Times New Roman" w:hAnsi="Times New Roman"/>
          <w:smallCaps/>
          <w:lang w:val="en-US"/>
        </w:rPr>
        <w:t>ehmann</w:t>
      </w:r>
      <w:r w:rsidRPr="00D5268D">
        <w:rPr>
          <w:rFonts w:ascii="Times New Roman" w:hAnsi="Times New Roman"/>
          <w:smallCaps/>
          <w:lang w:val="en-US"/>
        </w:rPr>
        <w:t>,</w:t>
      </w:r>
      <w:r w:rsidRPr="00D5268D">
        <w:rPr>
          <w:rFonts w:ascii="Times New Roman" w:hAnsi="Times New Roman"/>
          <w:lang w:val="en-US"/>
        </w:rPr>
        <w:t xml:space="preserve"> </w:t>
      </w:r>
      <w:r w:rsidRPr="00D5268D">
        <w:rPr>
          <w:rFonts w:ascii="Times New Roman" w:hAnsi="Times New Roman"/>
          <w:i/>
          <w:lang w:val="en-US"/>
        </w:rPr>
        <w:t>Kerigma</w:t>
      </w:r>
      <w:r w:rsidRPr="00D5268D">
        <w:rPr>
          <w:rFonts w:ascii="Times New Roman" w:hAnsi="Times New Roman"/>
          <w:lang w:val="en-US"/>
        </w:rPr>
        <w:t xml:space="preserve"> </w:t>
      </w:r>
      <w:r w:rsidRPr="00D5268D">
        <w:rPr>
          <w:rFonts w:ascii="Times New Roman" w:hAnsi="Times New Roman"/>
          <w:i/>
          <w:lang w:val="en-US"/>
        </w:rPr>
        <w:t>y dogma</w:t>
      </w:r>
      <w:r w:rsidRPr="00D5268D">
        <w:rPr>
          <w:rFonts w:ascii="Times New Roman" w:hAnsi="Times New Roman"/>
          <w:lang w:val="en-US"/>
        </w:rPr>
        <w:t xml:space="preserve">, in </w:t>
      </w:r>
      <w:r w:rsidRPr="00D5268D">
        <w:rPr>
          <w:rFonts w:ascii="Times New Roman" w:hAnsi="Times New Roman"/>
          <w:i/>
          <w:lang w:val="en-US"/>
        </w:rPr>
        <w:t xml:space="preserve">Mysterium Salutis. </w:t>
      </w:r>
      <w:r w:rsidRPr="00487225">
        <w:rPr>
          <w:rFonts w:ascii="Times New Roman" w:hAnsi="Times New Roman"/>
          <w:i/>
        </w:rPr>
        <w:t xml:space="preserve">Manual de teología como historia de salvación, </w:t>
      </w:r>
      <w:r w:rsidRPr="00487225">
        <w:rPr>
          <w:rFonts w:ascii="Times New Roman" w:hAnsi="Times New Roman"/>
        </w:rPr>
        <w:t>vol.</w:t>
      </w:r>
      <w:r>
        <w:rPr>
          <w:rFonts w:ascii="Times New Roman" w:hAnsi="Times New Roman"/>
        </w:rPr>
        <w:t xml:space="preserve"> I, Madrid,</w:t>
      </w:r>
      <w:r w:rsidRPr="00487225">
        <w:rPr>
          <w:rFonts w:ascii="Times New Roman" w:hAnsi="Times New Roman"/>
        </w:rPr>
        <w:t xml:space="preserve"> Ed. </w:t>
      </w:r>
      <w:proofErr w:type="gramStart"/>
      <w:r w:rsidRPr="003940CB">
        <w:rPr>
          <w:rFonts w:ascii="Times New Roman" w:hAnsi="Times New Roman"/>
          <w:lang w:val="it-IT"/>
        </w:rPr>
        <w:t>Cristiandad, 2ª edición 1974, pp. 686-704 con ab</w:t>
      </w:r>
      <w:r>
        <w:rPr>
          <w:rFonts w:ascii="Times New Roman" w:hAnsi="Times New Roman"/>
          <w:lang w:val="it-IT"/>
        </w:rPr>
        <w:t>bondanti riferimenti agli studi</w:t>
      </w:r>
      <w:r w:rsidRPr="003940CB">
        <w:rPr>
          <w:rFonts w:ascii="Times New Roman" w:hAnsi="Times New Roman"/>
          <w:lang w:val="it-IT"/>
        </w:rPr>
        <w:t xml:space="preserve"> sulla formazione dei vangeli</w:t>
      </w:r>
      <w:proofErr w:type="gramEnd"/>
      <w:r w:rsidRPr="003940CB">
        <w:rPr>
          <w:rFonts w:ascii="Times New Roman" w:hAnsi="Times New Roman"/>
          <w:lang w:val="it-IT"/>
        </w:rPr>
        <w:t>. Citato</w:t>
      </w:r>
      <w:r>
        <w:rPr>
          <w:rFonts w:ascii="Times New Roman" w:hAnsi="Times New Roman"/>
          <w:lang w:val="it-IT"/>
        </w:rPr>
        <w:t>,</w:t>
      </w:r>
      <w:r w:rsidRPr="003940CB">
        <w:rPr>
          <w:rFonts w:ascii="Times New Roman" w:hAnsi="Times New Roman"/>
          <w:lang w:val="it-IT"/>
        </w:rPr>
        <w:t xml:space="preserve"> </w:t>
      </w:r>
      <w:proofErr w:type="gramStart"/>
      <w:r w:rsidRPr="003940CB">
        <w:rPr>
          <w:rFonts w:ascii="Times New Roman" w:hAnsi="Times New Roman"/>
          <w:lang w:val="it-IT"/>
        </w:rPr>
        <w:t>a partire da</w:t>
      </w:r>
      <w:proofErr w:type="gramEnd"/>
      <w:r w:rsidRPr="003940CB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qui, </w:t>
      </w:r>
      <w:r w:rsidRPr="003940CB">
        <w:rPr>
          <w:rFonts w:ascii="Times New Roman" w:hAnsi="Times New Roman"/>
          <w:lang w:val="it-IT"/>
        </w:rPr>
        <w:t xml:space="preserve">come </w:t>
      </w:r>
      <w:r w:rsidRPr="003940CB">
        <w:rPr>
          <w:rFonts w:ascii="Times New Roman" w:hAnsi="Times New Roman"/>
          <w:smallCaps/>
          <w:lang w:val="it-IT"/>
        </w:rPr>
        <w:t>Rahner-Lehmann,</w:t>
      </w:r>
      <w:r>
        <w:rPr>
          <w:rFonts w:ascii="Times New Roman" w:hAnsi="Times New Roman"/>
          <w:smallCaps/>
          <w:lang w:val="it-IT"/>
        </w:rPr>
        <w:t xml:space="preserve"> </w:t>
      </w:r>
      <w:r w:rsidRPr="003940CB">
        <w:rPr>
          <w:rFonts w:ascii="Times New Roman" w:hAnsi="Times New Roman"/>
          <w:smallCaps/>
          <w:lang w:val="it-IT"/>
        </w:rPr>
        <w:t>KD.</w:t>
      </w:r>
      <w:r w:rsidRPr="003940CB">
        <w:rPr>
          <w:rFonts w:ascii="Times New Roman" w:hAnsi="Times New Roman"/>
          <w:lang w:val="it-IT"/>
        </w:rPr>
        <w:t xml:space="preserve"> </w:t>
      </w:r>
    </w:p>
  </w:footnote>
  <w:footnote w:id="3">
    <w:p w:rsidR="007944CC" w:rsidRPr="00024845" w:rsidRDefault="007944CC" w:rsidP="007944CC">
      <w:pPr>
        <w:pStyle w:val="Testonotaapidipagina"/>
        <w:jc w:val="both"/>
        <w:rPr>
          <w:rFonts w:ascii="Times New Roman" w:hAnsi="Times New Roman"/>
          <w:lang w:val="it-IT"/>
        </w:rPr>
      </w:pPr>
      <w:r w:rsidRPr="0087633A">
        <w:rPr>
          <w:rStyle w:val="Rimandonotaapidipagina"/>
          <w:rFonts w:cs="Arial"/>
        </w:rPr>
        <w:footnoteRef/>
      </w:r>
      <w:r w:rsidRPr="002D5B82">
        <w:rPr>
          <w:rFonts w:cs="Arial"/>
          <w:lang w:val="it-IT"/>
        </w:rPr>
        <w:t xml:space="preserve"> </w:t>
      </w:r>
      <w:r w:rsidRPr="002D5B82">
        <w:rPr>
          <w:rFonts w:ascii="Times New Roman" w:hAnsi="Times New Roman"/>
          <w:lang w:val="it-IT"/>
        </w:rPr>
        <w:t>“</w:t>
      </w:r>
      <w:r>
        <w:rPr>
          <w:rFonts w:ascii="Times New Roman" w:hAnsi="Times New Roman"/>
          <w:lang w:val="it-IT"/>
        </w:rPr>
        <w:t xml:space="preserve"> Solo il</w:t>
      </w:r>
      <w:r w:rsidRPr="002D5B82">
        <w:rPr>
          <w:rFonts w:ascii="Times New Roman" w:hAnsi="Times New Roman"/>
          <w:lang w:val="it-IT"/>
        </w:rPr>
        <w:t xml:space="preserve"> kerigma, che nasce dalla proclamazione fondamentale del regno di Dio per mezzo </w:t>
      </w:r>
      <w:proofErr w:type="gramStart"/>
      <w:r w:rsidRPr="002D5B82">
        <w:rPr>
          <w:rFonts w:ascii="Times New Roman" w:hAnsi="Times New Roman"/>
          <w:lang w:val="it-IT"/>
        </w:rPr>
        <w:t>de</w:t>
      </w:r>
      <w:r>
        <w:rPr>
          <w:rFonts w:ascii="Times New Roman" w:hAnsi="Times New Roman"/>
          <w:lang w:val="it-IT"/>
        </w:rPr>
        <w:t>llo</w:t>
      </w:r>
      <w:proofErr w:type="gramEnd"/>
      <w:r>
        <w:rPr>
          <w:rFonts w:ascii="Times New Roman" w:hAnsi="Times New Roman"/>
          <w:lang w:val="it-IT"/>
        </w:rPr>
        <w:t xml:space="preserve"> stesso Gesù e riceve da esso</w:t>
      </w:r>
      <w:r w:rsidRPr="002D5B82">
        <w:rPr>
          <w:rFonts w:ascii="Times New Roman" w:hAnsi="Times New Roman"/>
          <w:lang w:val="it-IT"/>
        </w:rPr>
        <w:t xml:space="preserve"> la sua norma costante, </w:t>
      </w:r>
      <w:r w:rsidRPr="002D5B82">
        <w:rPr>
          <w:rFonts w:ascii="Times New Roman" w:hAnsi="Times New Roman"/>
          <w:i/>
          <w:iCs/>
          <w:lang w:val="it-IT"/>
        </w:rPr>
        <w:t xml:space="preserve">può attualizzare il suo messaggio primitivo in una forma concreta e adeguata a ogni situazione del mondo nella storia reale e vera della Chiesa. </w:t>
      </w:r>
      <w:r w:rsidRPr="002D5B82">
        <w:rPr>
          <w:rFonts w:ascii="Times New Roman" w:hAnsi="Times New Roman"/>
          <w:iCs/>
          <w:lang w:val="it-IT"/>
        </w:rPr>
        <w:t xml:space="preserve">La </w:t>
      </w:r>
      <w:r w:rsidRPr="00A67BB1">
        <w:rPr>
          <w:rFonts w:ascii="Times New Roman" w:hAnsi="Times New Roman"/>
          <w:iCs/>
          <w:lang w:val="it-IT"/>
        </w:rPr>
        <w:t>rivelazione si rende</w:t>
      </w:r>
      <w:r>
        <w:rPr>
          <w:rFonts w:ascii="Times New Roman" w:hAnsi="Times New Roman"/>
          <w:iCs/>
          <w:lang w:val="it-IT"/>
        </w:rPr>
        <w:t xml:space="preserve"> </w:t>
      </w:r>
      <w:r w:rsidRPr="00A67BB1">
        <w:rPr>
          <w:rFonts w:ascii="Times New Roman" w:hAnsi="Times New Roman"/>
          <w:iCs/>
          <w:lang w:val="it-IT"/>
        </w:rPr>
        <w:t xml:space="preserve">presente </w:t>
      </w:r>
      <w:r w:rsidRPr="002D5B82">
        <w:rPr>
          <w:rFonts w:ascii="Times New Roman" w:hAnsi="Times New Roman"/>
          <w:iCs/>
          <w:lang w:val="it-IT"/>
        </w:rPr>
        <w:t>sol</w:t>
      </w:r>
      <w:r>
        <w:rPr>
          <w:rFonts w:ascii="Times New Roman" w:hAnsi="Times New Roman"/>
          <w:iCs/>
          <w:lang w:val="it-IT"/>
        </w:rPr>
        <w:t>tant</w:t>
      </w:r>
      <w:r w:rsidRPr="002D5B82">
        <w:rPr>
          <w:rFonts w:ascii="Times New Roman" w:hAnsi="Times New Roman"/>
          <w:iCs/>
          <w:lang w:val="it-IT"/>
        </w:rPr>
        <w:t>o nell</w:t>
      </w:r>
      <w:r>
        <w:rPr>
          <w:rFonts w:ascii="Times New Roman" w:hAnsi="Times New Roman"/>
          <w:iCs/>
          <w:lang w:val="it-IT"/>
        </w:rPr>
        <w:t>a predicazione, nel predicatore</w:t>
      </w:r>
      <w:r w:rsidRPr="002D5B82">
        <w:rPr>
          <w:rFonts w:ascii="Times New Roman" w:hAnsi="Times New Roman"/>
          <w:lang w:val="it-IT"/>
        </w:rPr>
        <w:t xml:space="preserve"> “</w:t>
      </w:r>
      <w:proofErr w:type="gramStart"/>
      <w:r w:rsidRPr="002D5B82">
        <w:rPr>
          <w:rFonts w:ascii="Times New Roman" w:hAnsi="Times New Roman"/>
          <w:lang w:val="it-IT"/>
        </w:rPr>
        <w:t>(</w:t>
      </w:r>
      <w:proofErr w:type="gramEnd"/>
      <w:r w:rsidRPr="002D5B82">
        <w:rPr>
          <w:rFonts w:ascii="Times New Roman" w:hAnsi="Times New Roman"/>
          <w:smallCaps/>
          <w:lang w:val="it-IT"/>
        </w:rPr>
        <w:t>Rahner.Lehmann,</w:t>
      </w:r>
      <w:r w:rsidRPr="002D5B82">
        <w:rPr>
          <w:rFonts w:ascii="Times New Roman" w:hAnsi="Times New Roman"/>
          <w:lang w:val="it-IT"/>
        </w:rPr>
        <w:t xml:space="preserve"> KD 697-698, </w:t>
      </w:r>
      <w:r w:rsidRPr="00A67BB1">
        <w:rPr>
          <w:rFonts w:ascii="Times New Roman" w:hAnsi="Times New Roman"/>
          <w:i/>
          <w:lang w:val="it-IT"/>
        </w:rPr>
        <w:t>la lunga sottolineatura è nostra</w:t>
      </w:r>
      <w:r>
        <w:rPr>
          <w:rFonts w:ascii="Times New Roman" w:hAnsi="Times New Roman"/>
          <w:lang w:val="it-IT"/>
        </w:rPr>
        <w:t>). Simons afferma tri-temporalità del kerigma: “</w:t>
      </w:r>
      <w:proofErr w:type="gramStart"/>
      <w:r>
        <w:rPr>
          <w:rFonts w:ascii="Times New Roman" w:hAnsi="Times New Roman"/>
          <w:lang w:val="it-IT"/>
        </w:rPr>
        <w:t>In quanto</w:t>
      </w:r>
      <w:proofErr w:type="gramEnd"/>
      <w:r>
        <w:rPr>
          <w:rFonts w:ascii="Times New Roman" w:hAnsi="Times New Roman"/>
          <w:lang w:val="it-IT"/>
        </w:rPr>
        <w:t xml:space="preserve"> è allo stesso tempo storico e </w:t>
      </w:r>
      <w:r w:rsidRPr="00A67BB1">
        <w:rPr>
          <w:rFonts w:ascii="Times New Roman" w:hAnsi="Times New Roman"/>
          <w:lang w:val="it-IT"/>
        </w:rPr>
        <w:t xml:space="preserve">sopra-storico, è </w:t>
      </w:r>
      <w:r>
        <w:rPr>
          <w:rFonts w:ascii="Times New Roman" w:hAnsi="Times New Roman"/>
          <w:lang w:val="it-IT"/>
        </w:rPr>
        <w:t>presenza del passato e del futuro, del temporaneo</w:t>
      </w:r>
      <w:r w:rsidRPr="00823376">
        <w:rPr>
          <w:rFonts w:ascii="Times New Roman" w:hAnsi="Times New Roman"/>
          <w:color w:val="FF0000"/>
          <w:lang w:val="it-IT"/>
        </w:rPr>
        <w:t xml:space="preserve"> </w:t>
      </w:r>
      <w:r>
        <w:rPr>
          <w:rFonts w:ascii="Times New Roman" w:hAnsi="Times New Roman"/>
          <w:lang w:val="it-IT"/>
        </w:rPr>
        <w:t>e dell’eterno”</w:t>
      </w:r>
      <w:r w:rsidRPr="00024845">
        <w:rPr>
          <w:rFonts w:ascii="Times New Roman" w:hAnsi="Times New Roman"/>
          <w:lang w:val="it-IT"/>
        </w:rPr>
        <w:t xml:space="preserve"> (</w:t>
      </w:r>
      <w:r w:rsidRPr="00024845">
        <w:rPr>
          <w:rFonts w:ascii="Times New Roman" w:hAnsi="Times New Roman"/>
          <w:sz w:val="24"/>
          <w:lang w:val="it-IT"/>
        </w:rPr>
        <w:t>E</w:t>
      </w:r>
      <w:r w:rsidRPr="00024845">
        <w:rPr>
          <w:rFonts w:ascii="Times New Roman" w:hAnsi="Times New Roman"/>
          <w:lang w:val="it-IT"/>
        </w:rPr>
        <w:t xml:space="preserve">. </w:t>
      </w:r>
      <w:r w:rsidRPr="00024845">
        <w:rPr>
          <w:rFonts w:ascii="Times New Roman" w:hAnsi="Times New Roman"/>
          <w:smallCaps/>
          <w:lang w:val="it-IT"/>
        </w:rPr>
        <w:t>Simons,</w:t>
      </w:r>
      <w:r w:rsidRPr="00024845">
        <w:rPr>
          <w:rFonts w:ascii="Times New Roman" w:hAnsi="Times New Roman"/>
          <w:lang w:val="it-IT"/>
        </w:rPr>
        <w:t xml:space="preserve"> </w:t>
      </w:r>
      <w:r w:rsidRPr="00024845">
        <w:rPr>
          <w:rFonts w:ascii="Times New Roman" w:hAnsi="Times New Roman"/>
          <w:i/>
          <w:iCs/>
          <w:lang w:val="it-IT"/>
        </w:rPr>
        <w:t>Kerigma</w:t>
      </w:r>
      <w:r w:rsidRPr="00024845">
        <w:rPr>
          <w:rFonts w:ascii="Times New Roman" w:hAnsi="Times New Roman"/>
          <w:lang w:val="it-IT"/>
        </w:rPr>
        <w:t xml:space="preserve"> en </w:t>
      </w:r>
      <w:r w:rsidRPr="00024845">
        <w:rPr>
          <w:rFonts w:ascii="Times New Roman" w:hAnsi="Times New Roman"/>
          <w:i/>
          <w:iCs/>
          <w:lang w:val="it-IT"/>
        </w:rPr>
        <w:t>Sacramentum Mundi</w:t>
      </w:r>
      <w:r w:rsidRPr="00024845">
        <w:rPr>
          <w:rFonts w:ascii="Times New Roman" w:hAnsi="Times New Roman"/>
          <w:lang w:val="it-IT"/>
        </w:rPr>
        <w:t xml:space="preserve"> IV, col. 195</w:t>
      </w:r>
      <w:proofErr w:type="gramStart"/>
      <w:r w:rsidRPr="00024845">
        <w:rPr>
          <w:rFonts w:ascii="Times New Roman" w:hAnsi="Times New Roman"/>
          <w:lang w:val="it-IT"/>
        </w:rPr>
        <w:t>).</w:t>
      </w:r>
      <w:proofErr w:type="gramEnd"/>
      <w:r w:rsidRPr="00024845">
        <w:rPr>
          <w:rFonts w:ascii="Times New Roman" w:hAnsi="Times New Roman"/>
          <w:lang w:val="it-IT"/>
        </w:rPr>
        <w:t xml:space="preserve"> </w:t>
      </w:r>
    </w:p>
  </w:footnote>
  <w:footnote w:id="4">
    <w:p w:rsidR="007944CC" w:rsidRPr="00B50BBA" w:rsidRDefault="007944CC" w:rsidP="007944CC">
      <w:pPr>
        <w:pStyle w:val="Testonotaapidipagina"/>
        <w:rPr>
          <w:rFonts w:ascii="Times New Roman" w:hAnsi="Times New Roman"/>
          <w:lang w:val="it-IT"/>
        </w:rPr>
      </w:pPr>
      <w:r w:rsidRPr="00487225">
        <w:rPr>
          <w:rStyle w:val="Rimandonotaapidipagina"/>
          <w:rFonts w:ascii="Times New Roman" w:hAnsi="Times New Roman"/>
        </w:rPr>
        <w:footnoteRef/>
      </w:r>
      <w:r w:rsidRPr="00B50BBA">
        <w:rPr>
          <w:rFonts w:ascii="Times New Roman" w:hAnsi="Times New Roman"/>
          <w:lang w:val="it-IT"/>
        </w:rPr>
        <w:t xml:space="preserve"> Cf. </w:t>
      </w:r>
      <w:r w:rsidRPr="00B50BBA">
        <w:rPr>
          <w:rFonts w:ascii="Times New Roman" w:hAnsi="Times New Roman"/>
          <w:smallCaps/>
          <w:lang w:val="it-IT"/>
        </w:rPr>
        <w:t>Ranher – Lehmann,</w:t>
      </w:r>
      <w:r w:rsidRPr="00B50BBA">
        <w:rPr>
          <w:rFonts w:ascii="Times New Roman" w:hAnsi="Times New Roman"/>
          <w:lang w:val="it-IT"/>
        </w:rPr>
        <w:t xml:space="preserve"> KD, 691; y </w:t>
      </w:r>
      <w:proofErr w:type="gramStart"/>
      <w:r w:rsidRPr="00B50BBA">
        <w:rPr>
          <w:rFonts w:ascii="Times New Roman" w:hAnsi="Times New Roman"/>
          <w:lang w:val="it-IT"/>
        </w:rPr>
        <w:t>H.</w:t>
      </w:r>
      <w:proofErr w:type="gramEnd"/>
      <w:r w:rsidRPr="00B50BBA">
        <w:rPr>
          <w:rFonts w:ascii="Times New Roman" w:hAnsi="Times New Roman"/>
          <w:lang w:val="it-IT"/>
        </w:rPr>
        <w:t xml:space="preserve"> U. </w:t>
      </w:r>
      <w:proofErr w:type="gramStart"/>
      <w:r w:rsidRPr="00B50BBA">
        <w:rPr>
          <w:rFonts w:ascii="Times New Roman" w:hAnsi="Times New Roman"/>
          <w:lang w:val="it-IT"/>
        </w:rPr>
        <w:t>von</w:t>
      </w:r>
      <w:proofErr w:type="gramEnd"/>
      <w:r w:rsidRPr="00B50BBA">
        <w:rPr>
          <w:rFonts w:ascii="Times New Roman" w:hAnsi="Times New Roman"/>
          <w:lang w:val="it-IT"/>
        </w:rPr>
        <w:t xml:space="preserve"> </w:t>
      </w:r>
      <w:r w:rsidRPr="00B50BBA">
        <w:rPr>
          <w:rFonts w:ascii="Times New Roman" w:hAnsi="Times New Roman"/>
          <w:smallCaps/>
          <w:lang w:val="it-IT"/>
        </w:rPr>
        <w:t>Balthasar,</w:t>
      </w:r>
      <w:r w:rsidRPr="00B50BBA">
        <w:rPr>
          <w:rFonts w:ascii="Times New Roman" w:hAnsi="Times New Roman"/>
          <w:lang w:val="it-IT"/>
        </w:rPr>
        <w:t xml:space="preserve"> op. cit. 368 y 875-876</w:t>
      </w:r>
    </w:p>
  </w:footnote>
  <w:footnote w:id="5">
    <w:p w:rsidR="007944CC" w:rsidRPr="00B87C89" w:rsidRDefault="007944CC" w:rsidP="007944CC">
      <w:pPr>
        <w:pStyle w:val="Testonotaapidipagina"/>
        <w:jc w:val="both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6C03CD">
        <w:rPr>
          <w:lang w:val="it-IT"/>
        </w:rPr>
        <w:t xml:space="preserve"> </w:t>
      </w:r>
      <w:proofErr w:type="gramStart"/>
      <w:r w:rsidRPr="006C03CD">
        <w:rPr>
          <w:rFonts w:ascii="Times New Roman" w:hAnsi="Times New Roman"/>
          <w:lang w:val="it-IT"/>
        </w:rPr>
        <w:t xml:space="preserve">“I. Hermann ha mostrato con molta </w:t>
      </w:r>
      <w:r>
        <w:rPr>
          <w:rFonts w:ascii="Times New Roman" w:hAnsi="Times New Roman"/>
          <w:lang w:val="it-IT"/>
        </w:rPr>
        <w:t>chiarezza che questa limitazione a una “prima presentazione ai non cristiani” non è giustificata nel NT</w:t>
      </w:r>
      <w:proofErr w:type="gramEnd"/>
      <w:r>
        <w:rPr>
          <w:rFonts w:ascii="Times New Roman" w:hAnsi="Times New Roman"/>
          <w:lang w:val="it-IT"/>
        </w:rPr>
        <w:t xml:space="preserve">. Il fatto della proclamazione si attualizzava in ripetute occasioni </w:t>
      </w:r>
      <w:r w:rsidRPr="006C03CD">
        <w:rPr>
          <w:rFonts w:ascii="Times New Roman" w:hAnsi="Times New Roman"/>
          <w:i/>
          <w:lang w:val="it-IT"/>
        </w:rPr>
        <w:t xml:space="preserve">nella comunità già credente. </w:t>
      </w:r>
      <w:r w:rsidRPr="006C03CD">
        <w:rPr>
          <w:rFonts w:ascii="Times New Roman" w:hAnsi="Times New Roman"/>
          <w:lang w:val="it-IT"/>
        </w:rPr>
        <w:t xml:space="preserve">Il </w:t>
      </w:r>
      <w:r>
        <w:rPr>
          <w:rFonts w:ascii="Times New Roman" w:hAnsi="Times New Roman"/>
          <w:lang w:val="it-IT"/>
        </w:rPr>
        <w:t xml:space="preserve">Kerigma “fondamentale” </w:t>
      </w:r>
      <w:r w:rsidRPr="006C03CD">
        <w:rPr>
          <w:rFonts w:ascii="Times New Roman" w:hAnsi="Times New Roman"/>
          <w:lang w:val="it-IT"/>
        </w:rPr>
        <w:t xml:space="preserve">(cf. </w:t>
      </w:r>
      <w:proofErr w:type="gramStart"/>
      <w:r w:rsidRPr="006C03CD">
        <w:rPr>
          <w:rFonts w:ascii="Times New Roman" w:hAnsi="Times New Roman"/>
          <w:lang w:val="it-IT"/>
        </w:rPr>
        <w:t>H.</w:t>
      </w:r>
      <w:proofErr w:type="gramEnd"/>
      <w:r w:rsidRPr="006C03CD">
        <w:rPr>
          <w:rFonts w:ascii="Times New Roman" w:hAnsi="Times New Roman"/>
          <w:lang w:val="it-IT"/>
        </w:rPr>
        <w:t xml:space="preserve"> </w:t>
      </w:r>
      <w:r w:rsidRPr="006C03CD">
        <w:rPr>
          <w:rFonts w:ascii="Times New Roman" w:hAnsi="Times New Roman"/>
          <w:smallCaps/>
          <w:lang w:val="it-IT"/>
        </w:rPr>
        <w:t>Schürmann,</w:t>
      </w:r>
      <w:r w:rsidRPr="006C03CD">
        <w:rPr>
          <w:rFonts w:ascii="Times New Roman" w:hAnsi="Times New Roman"/>
          <w:lang w:val="it-IT"/>
        </w:rPr>
        <w:t xml:space="preserve"> </w:t>
      </w:r>
      <w:r w:rsidRPr="006C03CD">
        <w:rPr>
          <w:rFonts w:ascii="Times New Roman" w:hAnsi="Times New Roman"/>
          <w:i/>
          <w:lang w:val="it-IT"/>
        </w:rPr>
        <w:t>Kerygma</w:t>
      </w:r>
      <w:r w:rsidRPr="006C03CD">
        <w:rPr>
          <w:rFonts w:ascii="Times New Roman" w:hAnsi="Times New Roman"/>
          <w:lang w:val="it-IT"/>
        </w:rPr>
        <w:t xml:space="preserve"> en </w:t>
      </w:r>
      <w:r w:rsidRPr="006C03CD">
        <w:rPr>
          <w:rFonts w:ascii="Times New Roman" w:hAnsi="Times New Roman"/>
          <w:i/>
          <w:lang w:val="it-IT"/>
        </w:rPr>
        <w:t>Lexikon für Theologie und Kirche</w:t>
      </w:r>
      <w:r w:rsidRPr="006C03CD">
        <w:rPr>
          <w:rFonts w:ascii="Times New Roman" w:hAnsi="Times New Roman"/>
          <w:lang w:val="it-IT"/>
        </w:rPr>
        <w:t xml:space="preserve"> ,ed. por J. Höfer y K. Rahner, VI, Friburgo 2ª ed. 1957-1965, p. 123)</w:t>
      </w:r>
      <w:r>
        <w:rPr>
          <w:rFonts w:ascii="Times New Roman" w:hAnsi="Times New Roman"/>
          <w:lang w:val="it-IT"/>
        </w:rPr>
        <w:t xml:space="preserve"> </w:t>
      </w:r>
      <w:r w:rsidRPr="00B50BBA">
        <w:rPr>
          <w:rFonts w:ascii="Times New Roman" w:hAnsi="Times New Roman"/>
          <w:lang w:val="it-IT"/>
        </w:rPr>
        <w:t xml:space="preserve">mostrava </w:t>
      </w:r>
      <w:r>
        <w:rPr>
          <w:rFonts w:ascii="Times New Roman" w:hAnsi="Times New Roman"/>
          <w:lang w:val="it-IT"/>
        </w:rPr>
        <w:t xml:space="preserve">“a ogni credente” il suo potere salvifico, secondo la misura della fede di ognuno. </w:t>
      </w:r>
      <w:proofErr w:type="gramStart"/>
      <w:r>
        <w:rPr>
          <w:rFonts w:ascii="Times New Roman" w:hAnsi="Times New Roman"/>
          <w:lang w:val="it-IT"/>
        </w:rPr>
        <w:t xml:space="preserve">Una </w:t>
      </w:r>
      <w:proofErr w:type="gramEnd"/>
      <w:r>
        <w:rPr>
          <w:rFonts w:ascii="Times New Roman" w:hAnsi="Times New Roman"/>
          <w:lang w:val="it-IT"/>
        </w:rPr>
        <w:t>interpretazione che riduca il kerigma a una “presentazione</w:t>
      </w:r>
      <w:r>
        <w:rPr>
          <w:rFonts w:ascii="Times New Roman" w:hAnsi="Times New Roman"/>
          <w:color w:val="FF0000"/>
          <w:lang w:val="it-IT"/>
        </w:rPr>
        <w:t xml:space="preserve"> </w:t>
      </w:r>
      <w:r w:rsidRPr="00B50BBA">
        <w:rPr>
          <w:rFonts w:ascii="Times New Roman" w:hAnsi="Times New Roman"/>
          <w:color w:val="000000" w:themeColor="text1"/>
          <w:lang w:val="it-IT"/>
        </w:rPr>
        <w:t>missionaria</w:t>
      </w:r>
      <w:r>
        <w:rPr>
          <w:rFonts w:ascii="Times New Roman" w:hAnsi="Times New Roman"/>
          <w:lang w:val="it-IT"/>
        </w:rPr>
        <w:t xml:space="preserve">” ai non cristiani” la priva del suo </w:t>
      </w:r>
      <w:r w:rsidRPr="00B50BBA">
        <w:rPr>
          <w:rFonts w:ascii="Times New Roman" w:hAnsi="Times New Roman"/>
          <w:lang w:val="it-IT"/>
        </w:rPr>
        <w:t>tratto</w:t>
      </w:r>
      <w:r w:rsidRPr="006C03CD">
        <w:rPr>
          <w:rFonts w:ascii="Times New Roman" w:hAnsi="Times New Roman"/>
          <w:color w:val="FF0000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essenziale più importante e del suo più profondo criterio di obbligatorietà, già che in quanto presenza, causata dallo Spirito, del Signore glorificato in mezzo della sua Chiesa chiama sempre a conversione e obbedienza, mediante l’attualizzazione del “vangelo di Dio”. </w:t>
      </w:r>
      <w:r w:rsidRPr="006C03CD">
        <w:rPr>
          <w:rFonts w:ascii="Times New Roman" w:hAnsi="Times New Roman"/>
          <w:lang w:val="it-IT"/>
        </w:rPr>
        <w:t>Cf. I</w:t>
      </w:r>
      <w:r>
        <w:rPr>
          <w:rFonts w:ascii="Times New Roman" w:hAnsi="Times New Roman"/>
          <w:lang w:val="it-IT"/>
        </w:rPr>
        <w:t>.</w:t>
      </w:r>
      <w:r w:rsidRPr="006C03CD">
        <w:rPr>
          <w:rFonts w:ascii="Times New Roman" w:hAnsi="Times New Roman"/>
          <w:lang w:val="it-IT"/>
        </w:rPr>
        <w:t xml:space="preserve"> </w:t>
      </w:r>
      <w:r w:rsidRPr="006C03CD">
        <w:rPr>
          <w:rFonts w:ascii="Times New Roman" w:hAnsi="Times New Roman"/>
          <w:smallCaps/>
          <w:lang w:val="it-IT"/>
        </w:rPr>
        <w:t>Hermann,</w:t>
      </w:r>
      <w:r w:rsidRPr="006C03CD">
        <w:rPr>
          <w:rFonts w:ascii="Times New Roman" w:hAnsi="Times New Roman"/>
          <w:lang w:val="it-IT"/>
        </w:rPr>
        <w:t xml:space="preserve"> </w:t>
      </w:r>
      <w:r w:rsidRPr="006C03CD">
        <w:rPr>
          <w:rFonts w:ascii="Times New Roman" w:hAnsi="Times New Roman"/>
          <w:i/>
          <w:lang w:val="it-IT"/>
        </w:rPr>
        <w:t>Keygma und Kirche</w:t>
      </w:r>
      <w:r>
        <w:rPr>
          <w:rFonts w:ascii="Times New Roman" w:hAnsi="Times New Roman"/>
          <w:lang w:val="it-IT"/>
        </w:rPr>
        <w:t>, i</w:t>
      </w:r>
      <w:r w:rsidRPr="006C03CD">
        <w:rPr>
          <w:rFonts w:ascii="Times New Roman" w:hAnsi="Times New Roman"/>
          <w:lang w:val="it-IT"/>
        </w:rPr>
        <w:t xml:space="preserve">n </w:t>
      </w:r>
      <w:r w:rsidRPr="006C03CD">
        <w:rPr>
          <w:rFonts w:ascii="Times New Roman" w:hAnsi="Times New Roman"/>
          <w:i/>
          <w:lang w:val="it-IT"/>
        </w:rPr>
        <w:t>Neutestamentliche Aufsätze</w:t>
      </w:r>
      <w:r w:rsidRPr="006C03CD">
        <w:rPr>
          <w:rFonts w:ascii="Times New Roman" w:hAnsi="Times New Roman"/>
          <w:lang w:val="it-IT"/>
        </w:rPr>
        <w:t xml:space="preserve"> (</w:t>
      </w:r>
      <w:r w:rsidRPr="006C03CD">
        <w:rPr>
          <w:rFonts w:ascii="Times New Roman" w:hAnsi="Times New Roman"/>
          <w:i/>
          <w:lang w:val="it-IT"/>
        </w:rPr>
        <w:t xml:space="preserve">Festschrift für </w:t>
      </w:r>
      <w:proofErr w:type="gramStart"/>
      <w:r w:rsidRPr="006C03CD">
        <w:rPr>
          <w:rFonts w:ascii="Times New Roman" w:hAnsi="Times New Roman"/>
          <w:i/>
          <w:lang w:val="it-IT"/>
        </w:rPr>
        <w:t>J.</w:t>
      </w:r>
      <w:proofErr w:type="gramEnd"/>
      <w:r w:rsidRPr="006C03CD">
        <w:rPr>
          <w:rFonts w:ascii="Times New Roman" w:hAnsi="Times New Roman"/>
          <w:i/>
          <w:lang w:val="it-IT"/>
        </w:rPr>
        <w:t xml:space="preserve"> Schmid</w:t>
      </w:r>
      <w:r w:rsidRPr="006C03CD">
        <w:rPr>
          <w:rFonts w:ascii="Times New Roman" w:hAnsi="Times New Roman"/>
          <w:lang w:val="it-IT"/>
        </w:rPr>
        <w:t>) Ratisbona 1963, 110-114)” (</w:t>
      </w:r>
      <w:r w:rsidRPr="00B87C89">
        <w:rPr>
          <w:rFonts w:ascii="Times New Roman" w:hAnsi="Times New Roman"/>
          <w:smallCaps/>
          <w:lang w:val="it-IT"/>
        </w:rPr>
        <w:t>R</w:t>
      </w:r>
      <w:r>
        <w:rPr>
          <w:rFonts w:ascii="Times New Roman" w:hAnsi="Times New Roman"/>
          <w:smallCaps/>
          <w:lang w:val="it-IT"/>
        </w:rPr>
        <w:t xml:space="preserve">ahner-Lehmann, </w:t>
      </w:r>
      <w:r w:rsidRPr="006C03CD">
        <w:rPr>
          <w:rFonts w:ascii="Times New Roman" w:hAnsi="Times New Roman"/>
          <w:i/>
          <w:lang w:val="it-IT"/>
        </w:rPr>
        <w:t>Kerigma y dogma,</w:t>
      </w:r>
      <w:r w:rsidRPr="006C03CD">
        <w:rPr>
          <w:rFonts w:ascii="Times New Roman" w:hAnsi="Times New Roman"/>
          <w:lang w:val="it-IT"/>
        </w:rPr>
        <w:t xml:space="preserve"> 691-692). </w:t>
      </w:r>
      <w:r w:rsidRPr="00B87C89">
        <w:rPr>
          <w:rFonts w:ascii="Times New Roman" w:hAnsi="Times New Roman"/>
          <w:lang w:val="it-IT"/>
        </w:rPr>
        <w:t>Pure: Il kerigma dimostra esser</w:t>
      </w:r>
      <w:r>
        <w:rPr>
          <w:rFonts w:ascii="Times New Roman" w:hAnsi="Times New Roman"/>
          <w:lang w:val="it-IT"/>
        </w:rPr>
        <w:t>e in ragione della sua essenza “</w:t>
      </w:r>
      <w:r w:rsidRPr="00B87C89">
        <w:rPr>
          <w:rFonts w:ascii="Times New Roman" w:hAnsi="Times New Roman"/>
          <w:lang w:val="it-IT"/>
        </w:rPr>
        <w:t xml:space="preserve">la </w:t>
      </w:r>
      <w:r w:rsidRPr="00B87C89">
        <w:rPr>
          <w:rFonts w:ascii="Times New Roman" w:hAnsi="Times New Roman"/>
          <w:i/>
          <w:lang w:val="it-IT"/>
        </w:rPr>
        <w:t>paradosis</w:t>
      </w:r>
      <w:r>
        <w:rPr>
          <w:rFonts w:ascii="Times New Roman" w:hAnsi="Times New Roman"/>
          <w:lang w:val="it-IT"/>
        </w:rPr>
        <w:t xml:space="preserve"> (tradizione</w:t>
      </w:r>
      <w:r w:rsidRPr="00B87C89">
        <w:rPr>
          <w:rFonts w:ascii="Times New Roman" w:hAnsi="Times New Roman"/>
          <w:lang w:val="it-IT"/>
        </w:rPr>
        <w:t>) apost</w:t>
      </w:r>
      <w:r>
        <w:rPr>
          <w:rFonts w:ascii="Times New Roman" w:hAnsi="Times New Roman"/>
          <w:lang w:val="it-IT"/>
        </w:rPr>
        <w:t>o</w:t>
      </w:r>
      <w:r w:rsidRPr="00B87C89">
        <w:rPr>
          <w:rFonts w:ascii="Times New Roman" w:hAnsi="Times New Roman"/>
          <w:lang w:val="it-IT"/>
        </w:rPr>
        <w:t>lica normativa” (</w:t>
      </w:r>
      <w:proofErr w:type="gramStart"/>
      <w:r w:rsidRPr="00B87C89">
        <w:rPr>
          <w:rFonts w:ascii="Times New Roman" w:hAnsi="Times New Roman"/>
          <w:lang w:val="it-IT"/>
        </w:rPr>
        <w:t>H.</w:t>
      </w:r>
      <w:proofErr w:type="gramEnd"/>
      <w:r w:rsidRPr="00B87C89">
        <w:rPr>
          <w:rFonts w:ascii="Times New Roman" w:hAnsi="Times New Roman"/>
          <w:lang w:val="it-IT"/>
        </w:rPr>
        <w:t xml:space="preserve"> </w:t>
      </w:r>
      <w:r w:rsidRPr="00B87C89">
        <w:rPr>
          <w:rFonts w:ascii="Times New Roman" w:hAnsi="Times New Roman"/>
          <w:smallCaps/>
          <w:lang w:val="it-IT"/>
        </w:rPr>
        <w:t>S</w:t>
      </w:r>
      <w:r>
        <w:rPr>
          <w:rFonts w:ascii="Times New Roman" w:hAnsi="Times New Roman"/>
          <w:smallCaps/>
          <w:lang w:val="it-IT"/>
        </w:rPr>
        <w:t>chlier</w:t>
      </w:r>
      <w:r w:rsidRPr="00B87C89">
        <w:rPr>
          <w:rFonts w:ascii="Times New Roman" w:hAnsi="Times New Roman"/>
          <w:smallCaps/>
          <w:lang w:val="it-IT"/>
        </w:rPr>
        <w:t>,</w:t>
      </w:r>
      <w:r w:rsidRPr="00B87C89">
        <w:rPr>
          <w:rFonts w:ascii="Times New Roman" w:hAnsi="Times New Roman"/>
          <w:lang w:val="it-IT"/>
        </w:rPr>
        <w:t xml:space="preserve"> </w:t>
      </w:r>
      <w:r w:rsidRPr="00B87C89">
        <w:rPr>
          <w:rFonts w:ascii="Times New Roman" w:hAnsi="Times New Roman"/>
          <w:i/>
          <w:lang w:val="it-IT"/>
        </w:rPr>
        <w:t>Kerigma und Sofia</w:t>
      </w:r>
      <w:r>
        <w:rPr>
          <w:rFonts w:ascii="Times New Roman" w:hAnsi="Times New Roman"/>
          <w:lang w:val="it-IT"/>
        </w:rPr>
        <w:t>, i</w:t>
      </w:r>
      <w:r w:rsidRPr="00B87C89">
        <w:rPr>
          <w:rFonts w:ascii="Times New Roman" w:hAnsi="Times New Roman"/>
          <w:lang w:val="it-IT"/>
        </w:rPr>
        <w:t xml:space="preserve">n </w:t>
      </w:r>
      <w:r w:rsidRPr="00B87C89">
        <w:rPr>
          <w:rFonts w:ascii="Times New Roman" w:hAnsi="Times New Roman"/>
          <w:i/>
          <w:lang w:val="it-IT"/>
        </w:rPr>
        <w:t>Zeit der Kirche</w:t>
      </w:r>
      <w:r w:rsidRPr="00B87C89">
        <w:rPr>
          <w:rFonts w:ascii="Times New Roman" w:hAnsi="Times New Roman"/>
          <w:lang w:val="it-IT"/>
        </w:rPr>
        <w:t xml:space="preserve">, Friburgo, 2ª ed. 1958, p. 216). E Hans Urs von Balthasar chiama il kerigma “la </w:t>
      </w:r>
      <w:r>
        <w:rPr>
          <w:rFonts w:ascii="Times New Roman" w:hAnsi="Times New Roman"/>
          <w:lang w:val="it-IT"/>
        </w:rPr>
        <w:t>strut</w:t>
      </w:r>
      <w:r w:rsidRPr="00B87C89">
        <w:rPr>
          <w:rFonts w:ascii="Times New Roman" w:hAnsi="Times New Roman"/>
          <w:lang w:val="it-IT"/>
        </w:rPr>
        <w:t>tura central</w:t>
      </w:r>
      <w:r>
        <w:rPr>
          <w:rFonts w:ascii="Times New Roman" w:hAnsi="Times New Roman"/>
          <w:lang w:val="it-IT"/>
        </w:rPr>
        <w:t xml:space="preserve">e della predicazione della Chiesa primitiva” </w:t>
      </w:r>
      <w:r w:rsidRPr="00B87C89">
        <w:rPr>
          <w:rFonts w:ascii="Times New Roman" w:hAnsi="Times New Roman"/>
          <w:lang w:val="it-IT"/>
        </w:rPr>
        <w:t>(</w:t>
      </w:r>
      <w:proofErr w:type="gramStart"/>
      <w:r w:rsidRPr="00B87C89">
        <w:rPr>
          <w:rFonts w:ascii="Times New Roman" w:hAnsi="Times New Roman"/>
          <w:lang w:val="it-IT"/>
        </w:rPr>
        <w:t>H.</w:t>
      </w:r>
      <w:proofErr w:type="gramEnd"/>
      <w:r w:rsidRPr="00B87C89">
        <w:rPr>
          <w:rFonts w:ascii="Times New Roman" w:hAnsi="Times New Roman"/>
          <w:lang w:val="it-IT"/>
        </w:rPr>
        <w:t xml:space="preserve"> U. </w:t>
      </w:r>
      <w:proofErr w:type="gramStart"/>
      <w:r w:rsidRPr="00B87C89">
        <w:rPr>
          <w:rFonts w:ascii="Times New Roman" w:hAnsi="Times New Roman"/>
          <w:lang w:val="it-IT"/>
        </w:rPr>
        <w:t>von</w:t>
      </w:r>
      <w:proofErr w:type="gramEnd"/>
      <w:r w:rsidRPr="00B87C89">
        <w:rPr>
          <w:rFonts w:ascii="Times New Roman" w:hAnsi="Times New Roman"/>
          <w:lang w:val="it-IT"/>
        </w:rPr>
        <w:t xml:space="preserve"> </w:t>
      </w:r>
      <w:r w:rsidRPr="00B87C89">
        <w:rPr>
          <w:rFonts w:ascii="Times New Roman" w:hAnsi="Times New Roman"/>
          <w:smallCaps/>
          <w:lang w:val="it-IT"/>
        </w:rPr>
        <w:t>B</w:t>
      </w:r>
      <w:r>
        <w:rPr>
          <w:rFonts w:ascii="Times New Roman" w:hAnsi="Times New Roman"/>
          <w:smallCaps/>
          <w:lang w:val="it-IT"/>
        </w:rPr>
        <w:t>althasar</w:t>
      </w:r>
      <w:r w:rsidRPr="00B87C89">
        <w:rPr>
          <w:rFonts w:ascii="Times New Roman" w:hAnsi="Times New Roman"/>
          <w:smallCaps/>
          <w:lang w:val="it-IT"/>
        </w:rPr>
        <w:t>,</w:t>
      </w:r>
      <w:r w:rsidRPr="00B87C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i/>
          <w:lang w:val="it-IT"/>
        </w:rPr>
        <w:t>Il me</w:t>
      </w:r>
      <w:r w:rsidRPr="00B87C89">
        <w:rPr>
          <w:rFonts w:ascii="Times New Roman" w:hAnsi="Times New Roman"/>
          <w:i/>
          <w:lang w:val="it-IT"/>
        </w:rPr>
        <w:t>ssaggio di salvezza e il presente</w:t>
      </w:r>
      <w:r>
        <w:rPr>
          <w:rFonts w:ascii="Times New Roman" w:hAnsi="Times New Roman"/>
          <w:i/>
          <w:lang w:val="it-IT"/>
        </w:rPr>
        <w:t>,</w:t>
      </w:r>
      <w:r w:rsidRPr="00B87C89">
        <w:rPr>
          <w:rFonts w:ascii="Times New Roman" w:hAnsi="Times New Roman"/>
          <w:i/>
          <w:lang w:val="it-IT"/>
        </w:rPr>
        <w:t xml:space="preserve"> </w:t>
      </w:r>
      <w:r>
        <w:rPr>
          <w:rFonts w:ascii="Times New Roman" w:hAnsi="Times New Roman"/>
          <w:lang w:val="it-IT"/>
        </w:rPr>
        <w:t>in</w:t>
      </w:r>
      <w:r w:rsidRPr="00B87C89">
        <w:rPr>
          <w:rFonts w:ascii="Times New Roman" w:hAnsi="Times New Roman"/>
          <w:lang w:val="it-IT"/>
        </w:rPr>
        <w:t xml:space="preserve"> </w:t>
      </w:r>
      <w:r w:rsidRPr="00B87C89">
        <w:rPr>
          <w:rFonts w:ascii="Times New Roman" w:hAnsi="Times New Roman"/>
          <w:i/>
          <w:lang w:val="it-IT"/>
        </w:rPr>
        <w:t xml:space="preserve">Humanitas </w:t>
      </w:r>
      <w:r w:rsidRPr="00B87C89">
        <w:rPr>
          <w:rFonts w:ascii="Times New Roman" w:hAnsi="Times New Roman"/>
          <w:lang w:val="it-IT"/>
        </w:rPr>
        <w:t>11 (1961), p. 875).</w:t>
      </w:r>
      <w:r>
        <w:rPr>
          <w:rFonts w:ascii="Times New Roman" w:hAnsi="Times New Roman"/>
          <w:lang w:val="it-IT"/>
        </w:rPr>
        <w:t xml:space="preserve"> </w:t>
      </w:r>
      <w:r w:rsidRPr="00B87C89">
        <w:rPr>
          <w:rFonts w:ascii="Times New Roman" w:hAnsi="Times New Roman"/>
          <w:lang w:val="it-IT"/>
        </w:rPr>
        <w:t xml:space="preserve"> </w:t>
      </w:r>
    </w:p>
    <w:p w:rsidR="007944CC" w:rsidRPr="003940CB" w:rsidRDefault="007944CC" w:rsidP="007944C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7D"/>
    <w:multiLevelType w:val="hybridMultilevel"/>
    <w:tmpl w:val="BCC2E346"/>
    <w:lvl w:ilvl="0" w:tplc="79401736">
      <w:start w:val="1"/>
      <w:numFmt w:val="lowerLetter"/>
      <w:lvlText w:val="%1)"/>
      <w:lvlJc w:val="left"/>
      <w:pPr>
        <w:ind w:left="720" w:hanging="360"/>
      </w:pPr>
      <w:rPr>
        <w:rFonts w:ascii="Arial" w:hAnsi="Arial" w:cstheme="maj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C77"/>
    <w:multiLevelType w:val="hybridMultilevel"/>
    <w:tmpl w:val="8738F24C"/>
    <w:lvl w:ilvl="0" w:tplc="23D2BA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63A5D9D"/>
    <w:multiLevelType w:val="hybridMultilevel"/>
    <w:tmpl w:val="C80643FA"/>
    <w:lvl w:ilvl="0" w:tplc="4E404D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6F46"/>
    <w:multiLevelType w:val="hybridMultilevel"/>
    <w:tmpl w:val="FC3C39F0"/>
    <w:lvl w:ilvl="0" w:tplc="9C04D82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10" w:hanging="360"/>
      </w:pPr>
    </w:lvl>
    <w:lvl w:ilvl="2" w:tplc="0C0A001B" w:tentative="1">
      <w:start w:val="1"/>
      <w:numFmt w:val="lowerRoman"/>
      <w:lvlText w:val="%3."/>
      <w:lvlJc w:val="right"/>
      <w:pPr>
        <w:ind w:left="3630" w:hanging="180"/>
      </w:pPr>
    </w:lvl>
    <w:lvl w:ilvl="3" w:tplc="0C0A000F" w:tentative="1">
      <w:start w:val="1"/>
      <w:numFmt w:val="decimal"/>
      <w:lvlText w:val="%4."/>
      <w:lvlJc w:val="left"/>
      <w:pPr>
        <w:ind w:left="4350" w:hanging="360"/>
      </w:pPr>
    </w:lvl>
    <w:lvl w:ilvl="4" w:tplc="0C0A0019" w:tentative="1">
      <w:start w:val="1"/>
      <w:numFmt w:val="lowerLetter"/>
      <w:lvlText w:val="%5."/>
      <w:lvlJc w:val="left"/>
      <w:pPr>
        <w:ind w:left="5070" w:hanging="360"/>
      </w:pPr>
    </w:lvl>
    <w:lvl w:ilvl="5" w:tplc="0C0A001B" w:tentative="1">
      <w:start w:val="1"/>
      <w:numFmt w:val="lowerRoman"/>
      <w:lvlText w:val="%6."/>
      <w:lvlJc w:val="right"/>
      <w:pPr>
        <w:ind w:left="5790" w:hanging="180"/>
      </w:pPr>
    </w:lvl>
    <w:lvl w:ilvl="6" w:tplc="0C0A000F" w:tentative="1">
      <w:start w:val="1"/>
      <w:numFmt w:val="decimal"/>
      <w:lvlText w:val="%7."/>
      <w:lvlJc w:val="left"/>
      <w:pPr>
        <w:ind w:left="6510" w:hanging="360"/>
      </w:pPr>
    </w:lvl>
    <w:lvl w:ilvl="7" w:tplc="0C0A0019" w:tentative="1">
      <w:start w:val="1"/>
      <w:numFmt w:val="lowerLetter"/>
      <w:lvlText w:val="%8."/>
      <w:lvlJc w:val="left"/>
      <w:pPr>
        <w:ind w:left="7230" w:hanging="360"/>
      </w:pPr>
    </w:lvl>
    <w:lvl w:ilvl="8" w:tplc="0C0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5391340A"/>
    <w:multiLevelType w:val="multilevel"/>
    <w:tmpl w:val="398ADBFA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787333"/>
    <w:multiLevelType w:val="hybridMultilevel"/>
    <w:tmpl w:val="A3EACC06"/>
    <w:lvl w:ilvl="0" w:tplc="A84CF75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i w:val="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65E42428"/>
    <w:multiLevelType w:val="hybridMultilevel"/>
    <w:tmpl w:val="9D3A579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10A9"/>
    <w:multiLevelType w:val="hybridMultilevel"/>
    <w:tmpl w:val="6990173E"/>
    <w:lvl w:ilvl="0" w:tplc="6D78EEEC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13" w:hanging="360"/>
      </w:pPr>
    </w:lvl>
    <w:lvl w:ilvl="2" w:tplc="0C0A001B" w:tentative="1">
      <w:start w:val="1"/>
      <w:numFmt w:val="lowerRoman"/>
      <w:lvlText w:val="%3."/>
      <w:lvlJc w:val="right"/>
      <w:pPr>
        <w:ind w:left="3633" w:hanging="180"/>
      </w:pPr>
    </w:lvl>
    <w:lvl w:ilvl="3" w:tplc="0C0A000F" w:tentative="1">
      <w:start w:val="1"/>
      <w:numFmt w:val="decimal"/>
      <w:lvlText w:val="%4."/>
      <w:lvlJc w:val="left"/>
      <w:pPr>
        <w:ind w:left="4353" w:hanging="360"/>
      </w:pPr>
    </w:lvl>
    <w:lvl w:ilvl="4" w:tplc="0C0A0019" w:tentative="1">
      <w:start w:val="1"/>
      <w:numFmt w:val="lowerLetter"/>
      <w:lvlText w:val="%5."/>
      <w:lvlJc w:val="left"/>
      <w:pPr>
        <w:ind w:left="5073" w:hanging="360"/>
      </w:pPr>
    </w:lvl>
    <w:lvl w:ilvl="5" w:tplc="0C0A001B" w:tentative="1">
      <w:start w:val="1"/>
      <w:numFmt w:val="lowerRoman"/>
      <w:lvlText w:val="%6."/>
      <w:lvlJc w:val="right"/>
      <w:pPr>
        <w:ind w:left="5793" w:hanging="180"/>
      </w:pPr>
    </w:lvl>
    <w:lvl w:ilvl="6" w:tplc="0C0A000F" w:tentative="1">
      <w:start w:val="1"/>
      <w:numFmt w:val="decimal"/>
      <w:lvlText w:val="%7."/>
      <w:lvlJc w:val="left"/>
      <w:pPr>
        <w:ind w:left="6513" w:hanging="360"/>
      </w:pPr>
    </w:lvl>
    <w:lvl w:ilvl="7" w:tplc="0C0A0019" w:tentative="1">
      <w:start w:val="1"/>
      <w:numFmt w:val="lowerLetter"/>
      <w:lvlText w:val="%8."/>
      <w:lvlJc w:val="left"/>
      <w:pPr>
        <w:ind w:left="7233" w:hanging="360"/>
      </w:pPr>
    </w:lvl>
    <w:lvl w:ilvl="8" w:tplc="0C0A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C"/>
    <w:rsid w:val="002878D9"/>
    <w:rsid w:val="005C0E1B"/>
    <w:rsid w:val="007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3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4CC"/>
    <w:pPr>
      <w:spacing w:after="200" w:line="276" w:lineRule="auto"/>
    </w:pPr>
    <w:rPr>
      <w:rFonts w:ascii="Arial" w:eastAsiaTheme="minorHAnsi" w:hAnsi="Arial" w:cstheme="majorHAnsi"/>
      <w:spacing w:val="6"/>
      <w:kern w:val="20"/>
      <w:position w:val="-2"/>
      <w:sz w:val="20"/>
      <w:szCs w:val="20"/>
      <w:lang w:val="ca-E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C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4CC"/>
    <w:pPr>
      <w:keepNext/>
      <w:keepLines/>
      <w:numPr>
        <w:numId w:val="1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944CC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944CC"/>
    <w:rPr>
      <w:rFonts w:ascii="Times New Roman" w:eastAsiaTheme="majorEastAsia" w:hAnsi="Times New Roman" w:cstheme="majorBidi"/>
      <w:b/>
      <w:bCs/>
      <w:spacing w:val="6"/>
      <w:kern w:val="20"/>
      <w:position w:val="-2"/>
      <w:szCs w:val="26"/>
      <w:lang w:val="ca-ES" w:eastAsia="en-US"/>
    </w:rPr>
  </w:style>
  <w:style w:type="paragraph" w:styleId="Paragrafoelenco">
    <w:name w:val="List Paragraph"/>
    <w:basedOn w:val="Normale"/>
    <w:uiPriority w:val="99"/>
    <w:qFormat/>
    <w:rsid w:val="007944CC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7944CC"/>
    <w:pPr>
      <w:spacing w:after="0" w:line="240" w:lineRule="auto"/>
    </w:pPr>
    <w:rPr>
      <w:rFonts w:eastAsia="Times New Roman" w:cs="Times New Roman"/>
      <w:spacing w:val="0"/>
      <w:kern w:val="0"/>
      <w:position w:val="0"/>
      <w:lang w:val="es-ES" w:eastAsia="es-E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944C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imandonotaapidipagina">
    <w:name w:val="footnote reference"/>
    <w:basedOn w:val="Caratterepredefinitoparagrafo"/>
    <w:uiPriority w:val="99"/>
    <w:rsid w:val="007944C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4CC"/>
    <w:pPr>
      <w:spacing w:after="200" w:line="276" w:lineRule="auto"/>
    </w:pPr>
    <w:rPr>
      <w:rFonts w:ascii="Arial" w:eastAsiaTheme="minorHAnsi" w:hAnsi="Arial" w:cstheme="majorHAnsi"/>
      <w:spacing w:val="6"/>
      <w:kern w:val="20"/>
      <w:position w:val="-2"/>
      <w:sz w:val="20"/>
      <w:szCs w:val="20"/>
      <w:lang w:val="ca-E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C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4CC"/>
    <w:pPr>
      <w:keepNext/>
      <w:keepLines/>
      <w:numPr>
        <w:numId w:val="1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944CC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944CC"/>
    <w:rPr>
      <w:rFonts w:ascii="Times New Roman" w:eastAsiaTheme="majorEastAsia" w:hAnsi="Times New Roman" w:cstheme="majorBidi"/>
      <w:b/>
      <w:bCs/>
      <w:spacing w:val="6"/>
      <w:kern w:val="20"/>
      <w:position w:val="-2"/>
      <w:szCs w:val="26"/>
      <w:lang w:val="ca-ES" w:eastAsia="en-US"/>
    </w:rPr>
  </w:style>
  <w:style w:type="paragraph" w:styleId="Paragrafoelenco">
    <w:name w:val="List Paragraph"/>
    <w:basedOn w:val="Normale"/>
    <w:uiPriority w:val="99"/>
    <w:qFormat/>
    <w:rsid w:val="007944CC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7944CC"/>
    <w:pPr>
      <w:spacing w:after="0" w:line="240" w:lineRule="auto"/>
    </w:pPr>
    <w:rPr>
      <w:rFonts w:eastAsia="Times New Roman" w:cs="Times New Roman"/>
      <w:spacing w:val="0"/>
      <w:kern w:val="0"/>
      <w:position w:val="0"/>
      <w:lang w:val="es-ES" w:eastAsia="es-E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944C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imandonotaapidipagina">
    <w:name w:val="footnote reference"/>
    <w:basedOn w:val="Caratterepredefinitoparagrafo"/>
    <w:uiPriority w:val="99"/>
    <w:rsid w:val="007944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6837</Characters>
  <Application>Microsoft Macintosh Word</Application>
  <DocSecurity>0</DocSecurity>
  <Lines>56</Lines>
  <Paragraphs>16</Paragraphs>
  <ScaleCrop>false</ScaleCrop>
  <Company>UPS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MORAL</dc:creator>
  <cp:keywords/>
  <dc:description/>
  <cp:lastModifiedBy>JOSE LUIS MORAL</cp:lastModifiedBy>
  <cp:revision>1</cp:revision>
  <dcterms:created xsi:type="dcterms:W3CDTF">2013-03-12T16:05:00Z</dcterms:created>
  <dcterms:modified xsi:type="dcterms:W3CDTF">2013-03-12T16:05:00Z</dcterms:modified>
</cp:coreProperties>
</file>